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Постановление Семнадцатого арбитражного апелляционного суда от 05.12.2024 N 17АП-10170/2024-ГК по делу N А60-23830/2024</w:t>
      </w:r>
    </w:p>
    <w:p>
      <w:pPr>
        <w:pStyle w:val="0"/>
        <w:jc w:val="both"/>
      </w:pPr>
      <w:r>
        <w:rPr>
          <w:sz w:val="20"/>
        </w:rPr>
        <w:t xml:space="preserve">Требование: О признании незаконными требований о демонтаже незаконно размещенных нестационарных объектов.</w:t>
      </w:r>
    </w:p>
    <w:p>
      <w:pPr>
        <w:pStyle w:val="0"/>
        <w:jc w:val="both"/>
      </w:pPr>
      <w:r>
        <w:rPr>
          <w:sz w:val="20"/>
        </w:rPr>
        <w:t xml:space="preserve">Решение: В удовлетворении требования отказано.</w:t>
      </w:r>
    </w:p>
    <w:p>
      <w:pPr>
        <w:pStyle w:val="0"/>
        <w:spacing w:before="200" w:lineRule="auto"/>
      </w:pPr>
      <w:r>
        <w:rPr>
          <w:sz w:val="20"/>
          <w:b w:val="on"/>
        </w:rPr>
        <w:t xml:space="preserve">Текст документа</w:t>
      </w:r>
    </w:p>
    <w:p>
      <w:pPr>
        <w:pStyle w:val="0"/>
        <w:outlineLvl w:val="0"/>
        <w:jc w:val="both"/>
      </w:pPr>
      <w:r>
        <w:rPr>
          <w:sz w:val="20"/>
        </w:rPr>
      </w:r>
    </w:p>
    <w:p>
      <w:pPr>
        <w:pStyle w:val="2"/>
        <w:jc w:val="center"/>
      </w:pPr>
      <w:r>
        <w:rPr>
          <w:sz w:val="20"/>
        </w:rPr>
        <w:t xml:space="preserve">СЕМНАДЦАТЫЙ АРБИТРАЖНЫЙ АПЕЛЛЯЦИОННЫЙ СУД</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5 декабря 2024 г. N 17АП-10170/2024-ГК</w:t>
      </w:r>
    </w:p>
    <w:p>
      <w:pPr>
        <w:pStyle w:val="0"/>
        <w:jc w:val="both"/>
      </w:pPr>
      <w:r>
        <w:rPr>
          <w:sz w:val="20"/>
        </w:rPr>
      </w:r>
    </w:p>
    <w:p>
      <w:pPr>
        <w:pStyle w:val="0"/>
        <w:jc w:val="right"/>
      </w:pPr>
      <w:r>
        <w:rPr>
          <w:sz w:val="20"/>
        </w:rPr>
        <w:t xml:space="preserve">Дело N А60-23830/2024</w:t>
      </w:r>
    </w:p>
    <w:p>
      <w:pPr>
        <w:pStyle w:val="0"/>
        <w:jc w:val="both"/>
      </w:pPr>
      <w:r>
        <w:rPr>
          <w:sz w:val="20"/>
        </w:rPr>
      </w:r>
    </w:p>
    <w:p>
      <w:pPr>
        <w:pStyle w:val="0"/>
        <w:ind w:firstLine="540"/>
        <w:jc w:val="both"/>
      </w:pPr>
      <w:r>
        <w:rPr>
          <w:sz w:val="20"/>
        </w:rPr>
        <w:t xml:space="preserve">Резолютивная часть постановления объявлена 02 декабря 2024 года.</w:t>
      </w:r>
    </w:p>
    <w:p>
      <w:pPr>
        <w:pStyle w:val="0"/>
        <w:spacing w:before="200" w:lineRule="auto"/>
        <w:ind w:firstLine="540"/>
        <w:jc w:val="both"/>
      </w:pPr>
      <w:r>
        <w:rPr>
          <w:sz w:val="20"/>
        </w:rPr>
        <w:t xml:space="preserve">Постановление в полном объеме изготовлено 05 декабря 2024 года.</w:t>
      </w:r>
    </w:p>
    <w:p>
      <w:pPr>
        <w:pStyle w:val="0"/>
        <w:spacing w:before="200" w:lineRule="auto"/>
        <w:ind w:firstLine="540"/>
        <w:jc w:val="both"/>
      </w:pPr>
      <w:r>
        <w:rPr>
          <w:sz w:val="20"/>
        </w:rPr>
        <w:t xml:space="preserve">Семнадцатый арбитражный апелляционный суд в составе:</w:t>
      </w:r>
    </w:p>
    <w:p>
      <w:pPr>
        <w:pStyle w:val="0"/>
        <w:spacing w:before="200" w:lineRule="auto"/>
        <w:ind w:firstLine="540"/>
        <w:jc w:val="both"/>
      </w:pPr>
      <w:r>
        <w:rPr>
          <w:sz w:val="20"/>
        </w:rPr>
        <w:t xml:space="preserve">председательствующего Дружининой О.Г.,</w:t>
      </w:r>
    </w:p>
    <w:p>
      <w:pPr>
        <w:pStyle w:val="0"/>
        <w:spacing w:before="200" w:lineRule="auto"/>
        <w:ind w:firstLine="540"/>
        <w:jc w:val="both"/>
      </w:pPr>
      <w:r>
        <w:rPr>
          <w:sz w:val="20"/>
        </w:rPr>
        <w:t xml:space="preserve">судей Поляковой М.А., Семенова В.В.,</w:t>
      </w:r>
    </w:p>
    <w:p>
      <w:pPr>
        <w:pStyle w:val="0"/>
        <w:spacing w:before="200" w:lineRule="auto"/>
        <w:ind w:firstLine="540"/>
        <w:jc w:val="both"/>
      </w:pPr>
      <w:r>
        <w:rPr>
          <w:sz w:val="20"/>
        </w:rPr>
        <w:t xml:space="preserve">при ведении протокола судебного заседания секретарем судебного заседания Черногузовой А.В.,</w:t>
      </w:r>
    </w:p>
    <w:p>
      <w:pPr>
        <w:pStyle w:val="0"/>
        <w:spacing w:before="200" w:lineRule="auto"/>
        <w:ind w:firstLine="540"/>
        <w:jc w:val="both"/>
      </w:pPr>
      <w:r>
        <w:rPr>
          <w:sz w:val="20"/>
        </w:rPr>
        <w:t xml:space="preserve">при неявке лиц, участвующих в деле,</w:t>
      </w:r>
    </w:p>
    <w:p>
      <w:pPr>
        <w:pStyle w:val="0"/>
        <w:spacing w:before="200" w:lineRule="auto"/>
        <w:ind w:firstLine="540"/>
        <w:jc w:val="both"/>
      </w:pPr>
      <w:r>
        <w:rPr>
          <w:sz w:val="20"/>
        </w:rPr>
        <w:t xml:space="preserve">лица, участвующие в деле, о месте и времени рассмотрения дела извещены надлежащим образом в порядке </w:t>
      </w:r>
      <w:r>
        <w:rPr>
          <w:sz w:val="20"/>
        </w:rPr>
        <w:t xml:space="preserve">статей 121</w:t>
      </w:r>
      <w:r>
        <w:rPr>
          <w:sz w:val="20"/>
        </w:rPr>
        <w:t xml:space="preserve">, </w:t>
      </w:r>
      <w:r>
        <w:rPr>
          <w:sz w:val="20"/>
        </w:rPr>
        <w:t xml:space="preserve">123</w:t>
      </w:r>
      <w:r>
        <w:rPr>
          <w:sz w:val="20"/>
        </w:rPr>
        <w:t xml:space="preserve"> Арбитражного процессуального кодекса Российской Федерации (далее - АПК РФ), в том числе публично, путем размещения информации о времени и месте судебного заседания на Интернет-сайте Семнадцатого арбитражного апелляционного суда,</w:t>
      </w:r>
    </w:p>
    <w:p>
      <w:pPr>
        <w:pStyle w:val="0"/>
        <w:spacing w:before="200" w:lineRule="auto"/>
        <w:ind w:firstLine="540"/>
        <w:jc w:val="both"/>
      </w:pPr>
      <w:r>
        <w:rPr>
          <w:sz w:val="20"/>
        </w:rPr>
        <w:t xml:space="preserve">рассмотрел в судебном заседании апелляционную жалобу заявителя, индивидуального предпринимателя Гусейнова Тофига Муртуз оглы,</w:t>
      </w:r>
    </w:p>
    <w:p>
      <w:pPr>
        <w:pStyle w:val="0"/>
        <w:spacing w:before="200" w:lineRule="auto"/>
        <w:ind w:firstLine="540"/>
        <w:jc w:val="both"/>
      </w:pPr>
      <w:r>
        <w:rPr>
          <w:sz w:val="20"/>
        </w:rPr>
        <w:t xml:space="preserve">на </w:t>
      </w:r>
      <w:r>
        <w:rPr>
          <w:sz w:val="20"/>
        </w:rPr>
        <w:t xml:space="preserve">решение</w:t>
      </w:r>
      <w:r>
        <w:rPr>
          <w:sz w:val="20"/>
        </w:rPr>
        <w:t xml:space="preserve"> Арбитражного суда Свердловской области</w:t>
      </w:r>
    </w:p>
    <w:p>
      <w:pPr>
        <w:pStyle w:val="0"/>
        <w:spacing w:before="200" w:lineRule="auto"/>
        <w:ind w:firstLine="540"/>
        <w:jc w:val="both"/>
      </w:pPr>
      <w:r>
        <w:rPr>
          <w:sz w:val="20"/>
        </w:rPr>
        <w:t xml:space="preserve">от 06 августа 2024 года</w:t>
      </w:r>
    </w:p>
    <w:p>
      <w:pPr>
        <w:pStyle w:val="0"/>
        <w:spacing w:before="200" w:lineRule="auto"/>
        <w:ind w:firstLine="540"/>
        <w:jc w:val="both"/>
      </w:pPr>
      <w:r>
        <w:rPr>
          <w:sz w:val="20"/>
        </w:rPr>
        <w:t xml:space="preserve">по делу N А60-23830/2024</w:t>
      </w:r>
    </w:p>
    <w:p>
      <w:pPr>
        <w:pStyle w:val="0"/>
        <w:spacing w:before="200" w:lineRule="auto"/>
        <w:ind w:firstLine="540"/>
        <w:jc w:val="both"/>
      </w:pPr>
      <w:r>
        <w:rPr>
          <w:sz w:val="20"/>
        </w:rPr>
        <w:t xml:space="preserve">по заявлению индивидуального предпринимателя Гусейнова Тофига Муртуз оглы (ИНН 292002925907, ОГРНИП 323290000008701)</w:t>
      </w:r>
    </w:p>
    <w:p>
      <w:pPr>
        <w:pStyle w:val="0"/>
        <w:spacing w:before="200" w:lineRule="auto"/>
        <w:ind w:firstLine="540"/>
        <w:jc w:val="both"/>
      </w:pPr>
      <w:r>
        <w:rPr>
          <w:sz w:val="20"/>
        </w:rPr>
        <w:t xml:space="preserve">к Администрации Верх-Исетского района города Екатеринбурга (ИНН 6658030020, ОГРН 1036602636212)</w:t>
      </w:r>
    </w:p>
    <w:p>
      <w:pPr>
        <w:pStyle w:val="0"/>
        <w:spacing w:before="200" w:lineRule="auto"/>
        <w:ind w:firstLine="540"/>
        <w:jc w:val="both"/>
      </w:pPr>
      <w:r>
        <w:rPr>
          <w:sz w:val="20"/>
        </w:rPr>
        <w:t xml:space="preserve">третье лицо: Гусейнова Рубаба Гашам кызы,</w:t>
      </w:r>
    </w:p>
    <w:p>
      <w:pPr>
        <w:pStyle w:val="0"/>
        <w:spacing w:before="200" w:lineRule="auto"/>
        <w:ind w:firstLine="540"/>
        <w:jc w:val="both"/>
      </w:pPr>
      <w:r>
        <w:rPr>
          <w:sz w:val="20"/>
        </w:rPr>
        <w:t xml:space="preserve">о признании незаконными требований,</w:t>
      </w:r>
    </w:p>
    <w:p>
      <w:pPr>
        <w:pStyle w:val="0"/>
        <w:jc w:val="both"/>
      </w:pPr>
      <w:r>
        <w:rPr>
          <w:sz w:val="20"/>
        </w:rPr>
      </w:r>
    </w:p>
    <w:p>
      <w:pPr>
        <w:pStyle w:val="0"/>
        <w:jc w:val="center"/>
      </w:pPr>
      <w:r>
        <w:rPr>
          <w:sz w:val="20"/>
        </w:rPr>
        <w:t xml:space="preserve">установил:</w:t>
      </w:r>
    </w:p>
    <w:p>
      <w:pPr>
        <w:pStyle w:val="0"/>
        <w:jc w:val="both"/>
      </w:pPr>
      <w:r>
        <w:rPr>
          <w:sz w:val="20"/>
        </w:rPr>
      </w:r>
    </w:p>
    <w:p>
      <w:pPr>
        <w:pStyle w:val="0"/>
        <w:ind w:firstLine="540"/>
        <w:jc w:val="both"/>
      </w:pPr>
      <w:r>
        <w:rPr>
          <w:sz w:val="20"/>
        </w:rPr>
        <w:t xml:space="preserve">индивидуальный предприниматель Гусейнов Тофиг Муртуз оглы (далее - истец, предприниматель, ИП Гусейнов Т.М.) обратился в Арбитражный суд Свердловской области с заявлением о признании незаконными требований Администрации Верх-Исетского района города Екатеринбурга (далее - заинтересованное лицо, Администрация) от 02.05.2024 N 5-У-ВИ, от 02.05.2024 N 6-У-ВИ, от 02.05.2024 N 7-У-ВИ о демонтаже незаконно размещенных нестационарных объектов.</w:t>
      </w:r>
    </w:p>
    <w:p>
      <w:pPr>
        <w:pStyle w:val="0"/>
        <w:spacing w:before="200" w:lineRule="auto"/>
        <w:ind w:firstLine="540"/>
        <w:jc w:val="both"/>
      </w:pPr>
      <w:r>
        <w:rPr>
          <w:sz w:val="20"/>
        </w:rPr>
        <w:t xml:space="preserve">К участию в деле в качестве третьего лица (</w:t>
      </w:r>
      <w:r>
        <w:rPr>
          <w:sz w:val="20"/>
        </w:rPr>
        <w:t xml:space="preserve">ст. 51</w:t>
      </w:r>
      <w:r>
        <w:rPr>
          <w:sz w:val="20"/>
        </w:rPr>
        <w:t xml:space="preserve">, </w:t>
      </w:r>
      <w:r>
        <w:rPr>
          <w:sz w:val="20"/>
        </w:rPr>
        <w:t xml:space="preserve">200</w:t>
      </w:r>
      <w:r>
        <w:rPr>
          <w:sz w:val="20"/>
        </w:rPr>
        <w:t xml:space="preserve"> АПК РФ) привлечена Гусейнова Рубаба Гашам кызы (далее - Гусейнова Р.Г., третье лицо).</w:t>
      </w:r>
    </w:p>
    <w:p>
      <w:pPr>
        <w:pStyle w:val="0"/>
        <w:spacing w:before="200" w:lineRule="auto"/>
        <w:ind w:firstLine="540"/>
        <w:jc w:val="both"/>
      </w:pPr>
      <w:r>
        <w:rPr>
          <w:sz w:val="20"/>
        </w:rPr>
        <w:t xml:space="preserve">Решением суда от 06.08.2024 в удовлетворении заявленных требований отказано.</w:t>
      </w:r>
    </w:p>
    <w:p>
      <w:pPr>
        <w:pStyle w:val="0"/>
        <w:spacing w:before="200" w:lineRule="auto"/>
        <w:ind w:firstLine="540"/>
        <w:jc w:val="both"/>
      </w:pPr>
      <w:r>
        <w:rPr>
          <w:sz w:val="20"/>
        </w:rPr>
        <w:t xml:space="preserve">Не согласившись с принятым решением, предприниматель Гусейнов Т.М. обратился в апелляционный суд с апелляционной жалобой, в которой просит решение отменить, принять новый судебный акт, которым заявленные требования удовлетворить.</w:t>
      </w:r>
    </w:p>
    <w:p>
      <w:pPr>
        <w:pStyle w:val="0"/>
        <w:spacing w:before="200" w:lineRule="auto"/>
        <w:ind w:firstLine="540"/>
        <w:jc w:val="both"/>
      </w:pPr>
      <w:r>
        <w:rPr>
          <w:sz w:val="20"/>
        </w:rPr>
        <w:t xml:space="preserve">В обоснование апелляционной жалобы ее заявитель приводит доводы о том, что суд первой инстанции необоснованно оставил без внимания фактические обстоятельства дела, не дал оценку доказательствам, не проанализировал доводы заявителя, ограничившись лишь формальной ссылкой на вступивший в законную силу судебный акт. Заявитель считает, что договоры действуют и не прекращались по причине смерти наследодателя, поскольку арендные отношения не являются неразрывно связанными с личностью. Ссылается на то, что права и обязанности по договорам перешли Гусейновой Р.Г. независимо от наличия или отсутствия у нее статуса индивидуального предпринимателя (универсальное правопреемство). Полагает, что передача прав (уступка) по договорам соответствует законодательству, положения пункта 4.4.5 договоров не соответствует действующему гражданскому законодательству. Предприниматель ссылается на то, что аналогичная позиция изложена в </w:t>
      </w:r>
      <w:r>
        <w:rPr>
          <w:sz w:val="20"/>
        </w:rPr>
        <w:t xml:space="preserve">постановлении</w:t>
      </w:r>
      <w:r>
        <w:rPr>
          <w:sz w:val="20"/>
        </w:rPr>
        <w:t xml:space="preserve"> Арбитражного суда Уральского округа от 30.11.2023 по делу N А34-11555/2022 с абсолютно схожими обстоятельствами дела, в котором суд указал, что договорный запрет на уступку прав не соответствует гражданскому законодательству, умаляет права собственника и создает дискриминацию, в связи с чем признал состоявшимся переход прав и обязанностей по договору на размещение нестационарного торгового объекта на основании договора об уступке права требования (цессии).</w:t>
      </w:r>
    </w:p>
    <w:p>
      <w:pPr>
        <w:pStyle w:val="0"/>
        <w:spacing w:before="200" w:lineRule="auto"/>
        <w:ind w:firstLine="540"/>
        <w:jc w:val="both"/>
      </w:pPr>
      <w:r>
        <w:rPr>
          <w:sz w:val="20"/>
        </w:rPr>
        <w:t xml:space="preserve">Иные лица, участвующие в деле, возражений на апелляционную жалобу не представили.</w:t>
      </w:r>
    </w:p>
    <w:p>
      <w:pPr>
        <w:pStyle w:val="0"/>
        <w:spacing w:before="200" w:lineRule="auto"/>
        <w:ind w:firstLine="540"/>
        <w:jc w:val="both"/>
      </w:pPr>
      <w:r>
        <w:rPr>
          <w:sz w:val="20"/>
        </w:rPr>
        <w:t xml:space="preserve">Судебное заседание проведено в порядке </w:t>
      </w:r>
      <w:r>
        <w:rPr>
          <w:sz w:val="20"/>
        </w:rPr>
        <w:t xml:space="preserve">статьи 156</w:t>
      </w:r>
      <w:r>
        <w:rPr>
          <w:sz w:val="20"/>
        </w:rPr>
        <w:t xml:space="preserve"> АПК РФ в отсутствие представителей лиц, участвующих в деле, надлежащим образом извещенных о времени и месте проведения судебного заседания.</w:t>
      </w:r>
    </w:p>
    <w:p>
      <w:pPr>
        <w:pStyle w:val="0"/>
        <w:spacing w:before="200" w:lineRule="auto"/>
        <w:ind w:firstLine="540"/>
        <w:jc w:val="both"/>
      </w:pPr>
      <w:r>
        <w:rPr>
          <w:sz w:val="20"/>
        </w:rPr>
        <w:t xml:space="preserve">Законность и обоснованность обжалуемого судебного акта проверены арбитражным судом апелляционной инстанции в порядке, предусмотренном </w:t>
      </w:r>
      <w:r>
        <w:rPr>
          <w:sz w:val="20"/>
        </w:rPr>
        <w:t xml:space="preserve">статьями 266</w:t>
      </w:r>
      <w:r>
        <w:rPr>
          <w:sz w:val="20"/>
        </w:rPr>
        <w:t xml:space="preserve">, </w:t>
      </w:r>
      <w:r>
        <w:rPr>
          <w:sz w:val="20"/>
        </w:rPr>
        <w:t xml:space="preserve">268</w:t>
      </w:r>
      <w:r>
        <w:rPr>
          <w:sz w:val="20"/>
        </w:rPr>
        <w:t xml:space="preserve"> АПК РФ.</w:t>
      </w:r>
    </w:p>
    <w:p>
      <w:pPr>
        <w:pStyle w:val="0"/>
        <w:spacing w:before="200" w:lineRule="auto"/>
        <w:ind w:firstLine="540"/>
        <w:jc w:val="both"/>
      </w:pPr>
      <w:r>
        <w:rPr>
          <w:sz w:val="20"/>
        </w:rPr>
        <w:t xml:space="preserve">Как следует из материалов дела, схемой размещения нестационарных торговых объектов на территории муниципального образования "город Екатеринбург", утвержденной </w:t>
      </w:r>
      <w:r>
        <w:rPr>
          <w:sz w:val="20"/>
        </w:rPr>
        <w:t xml:space="preserve">постановлением</w:t>
      </w:r>
      <w:r>
        <w:rPr>
          <w:sz w:val="20"/>
        </w:rPr>
        <w:t xml:space="preserve"> Администрации города Екатеринбурга от 19.12.2018 N 3092 предусмотрены места размещения павильона со специализацией "цветы" по адресу: г. Екатеринбург, ул. Заводская-Ключевская площадью 32 кв. м, киоска со специализацией "овощи-фрукты" по ул. Викулова, 61/3 площадью 10 кв. м, киоска со специализацией "овощи-фрукты" по б-р Верх-Исетский, 25 (56.839441, 60.570125) площадью 10 кв. м.</w:t>
      </w:r>
    </w:p>
    <w:p>
      <w:pPr>
        <w:pStyle w:val="0"/>
        <w:spacing w:before="200" w:lineRule="auto"/>
        <w:ind w:firstLine="540"/>
        <w:jc w:val="both"/>
      </w:pPr>
      <w:r>
        <w:rPr>
          <w:sz w:val="20"/>
        </w:rPr>
        <w:t xml:space="preserve">Право на размещение указанных нестационарных объектов предоставлено индивидуальному предпринимателю Гусейнову Гашам Алиага оглы (правообладатель) по договорам от 01.09.2020 N 176-2020/ВИ (павильон со специализацией "цветы" по адресу: г. Екатеринбург, ул. Заводская-Ключевская площадью 32 кв. м), от 01.09.2020 N 182-2020/ВИ (киоск со специализацией "овощи-фрукты" по ул. Викулова, 61/3 площадью 10 кв. м), от 01.09.2020 N 183-2020/ВИ (киоск со специализацией "овощи-фрукты" по б-р Верх-Исетский, 25 (56.839441, 60.570125) площадью 10 кв. м).</w:t>
      </w:r>
    </w:p>
    <w:p>
      <w:pPr>
        <w:pStyle w:val="0"/>
        <w:spacing w:before="200" w:lineRule="auto"/>
        <w:ind w:firstLine="540"/>
        <w:jc w:val="both"/>
      </w:pPr>
      <w:r>
        <w:rPr>
          <w:sz w:val="20"/>
        </w:rPr>
        <w:t xml:space="preserve">Гусейнов Гашам Алиага оглы умер 15.09.2022. Единственным наследником первой очереди после смерти является его дочь - Гусейнова Рубаба Гашам кызы.</w:t>
      </w:r>
    </w:p>
    <w:p>
      <w:pPr>
        <w:pStyle w:val="0"/>
        <w:spacing w:before="200" w:lineRule="auto"/>
        <w:ind w:firstLine="540"/>
        <w:jc w:val="both"/>
      </w:pPr>
      <w:r>
        <w:rPr>
          <w:sz w:val="20"/>
        </w:rPr>
        <w:t xml:space="preserve">Гусейновой Рубаба Гашам кызы как наследнику по закону первой очереди после смерти врио нотариуса выдано свидетельство о праве на наследство по закону 66 АА 8030703 от 11.07.2023, в отношении наследственного имущества, в состав которого, в том числе вошли права и обязанности по вышеуказанным договорам, предусматривающим размещение нестационарных объектов, заключенным между наследодателем и Администрацией Верх-Исетского района г. Екатеринбурга N 176-2020/ВИ от 01.09.2020, N 182-2020/ВИ от 01.09.2020, N 183-2020/ВИ от 01.09.2020.</w:t>
      </w:r>
    </w:p>
    <w:p>
      <w:pPr>
        <w:pStyle w:val="0"/>
        <w:spacing w:before="200" w:lineRule="auto"/>
        <w:ind w:firstLine="540"/>
        <w:jc w:val="both"/>
      </w:pPr>
      <w:r>
        <w:rPr>
          <w:sz w:val="20"/>
        </w:rPr>
        <w:t xml:space="preserve">Гусейнова Рубаба Гашам кызы является гражданкой Азербайджана, вид на жительство на территории Российской Федерации не имеет.</w:t>
      </w:r>
    </w:p>
    <w:p>
      <w:pPr>
        <w:pStyle w:val="0"/>
        <w:spacing w:before="200" w:lineRule="auto"/>
        <w:ind w:firstLine="540"/>
        <w:jc w:val="both"/>
      </w:pPr>
      <w:r>
        <w:rPr>
          <w:sz w:val="20"/>
        </w:rPr>
        <w:t xml:space="preserve">В целях сохранения арендных отношений Гусейнова Рубаба Гашам кызы заключила с предпринимателем Гусейновым Тофиг Муртуз оглы соглашения о передаче прав по договорам на размещение нестационарного торгового объекта от 12.07.2023.</w:t>
      </w:r>
    </w:p>
    <w:p>
      <w:pPr>
        <w:pStyle w:val="0"/>
        <w:spacing w:before="200" w:lineRule="auto"/>
        <w:ind w:firstLine="540"/>
        <w:jc w:val="both"/>
      </w:pPr>
      <w:r>
        <w:rPr>
          <w:sz w:val="20"/>
        </w:rPr>
        <w:t xml:space="preserve">Предприниматель Гусейнов Тофиг Муртуз оглы является фактическим владельцем нестационарных объектов, полученных от наследницы правообладателя мест размещения объектов Гусейновой Рубабы Гашам кызы.</w:t>
      </w:r>
    </w:p>
    <w:p>
      <w:pPr>
        <w:pStyle w:val="0"/>
        <w:spacing w:before="200" w:lineRule="auto"/>
        <w:ind w:firstLine="540"/>
        <w:jc w:val="both"/>
      </w:pPr>
      <w:r>
        <w:rPr>
          <w:sz w:val="20"/>
        </w:rPr>
        <w:t xml:space="preserve">02.05.2024 предпринимателем Гусейновым Тофиг Муртуз оглы получены уведомления N 5-У-ВИ, N 6-У-ВИ, N 7-У-ВИ о выносе (демонтаже) незаконно размещенных нестационарных торговых объектов, срок для добровольного исполнения требований установлен до 07.05.2024.</w:t>
      </w:r>
    </w:p>
    <w:p>
      <w:pPr>
        <w:pStyle w:val="0"/>
        <w:spacing w:before="200" w:lineRule="auto"/>
        <w:ind w:firstLine="540"/>
        <w:jc w:val="both"/>
      </w:pPr>
      <w:r>
        <w:rPr>
          <w:sz w:val="20"/>
        </w:rPr>
        <w:t xml:space="preserve">Ссылаясь на то, что уведомления о выносе (демонтаже) нестационарных торговых объектов не соответствуют закону, нарушают права и законные интересы в сфере предпринимательской деятельности, предприниматель Гусейнов Тофиг Муртуз оглы обратился в арбитражный суд с рассматриваемым заявлением.</w:t>
      </w:r>
    </w:p>
    <w:p>
      <w:pPr>
        <w:pStyle w:val="0"/>
        <w:spacing w:before="200" w:lineRule="auto"/>
        <w:ind w:firstLine="540"/>
        <w:jc w:val="both"/>
      </w:pPr>
      <w:r>
        <w:rPr>
          <w:sz w:val="20"/>
        </w:rPr>
        <w:t xml:space="preserve">Отказывая в удовлетворении заявленных требований, суд первой инстанции пришел к выводу об отсутствии оснований для признания оспариваемых уведомлений незаконными.</w:t>
      </w:r>
    </w:p>
    <w:p>
      <w:pPr>
        <w:pStyle w:val="0"/>
        <w:spacing w:before="200" w:lineRule="auto"/>
        <w:ind w:firstLine="540"/>
        <w:jc w:val="both"/>
      </w:pPr>
      <w:r>
        <w:rPr>
          <w:sz w:val="20"/>
        </w:rPr>
        <w:t xml:space="preserve">Исследовав материалы дела, рассмотрев доводы жалобы, проверив правильность применения судом норм материального и процессуального права, а также соответствие выводов суда обстоятельствам дела, суд апелляционной инстанции не находит оснований для отмены (изменения) судебного акта.</w:t>
      </w:r>
    </w:p>
    <w:p>
      <w:pPr>
        <w:pStyle w:val="0"/>
        <w:spacing w:before="200" w:lineRule="auto"/>
        <w:ind w:firstLine="540"/>
        <w:jc w:val="both"/>
      </w:pPr>
      <w:r>
        <w:rPr>
          <w:sz w:val="20"/>
        </w:rPr>
        <w:t xml:space="preserve">Согласно </w:t>
      </w:r>
      <w:r>
        <w:rPr>
          <w:sz w:val="20"/>
        </w:rPr>
        <w:t xml:space="preserve">части 1 статьи 198</w:t>
      </w:r>
      <w:r>
        <w:rPr>
          <w:sz w:val="20"/>
        </w:rPr>
        <w:t xml:space="preserve"> АПК РФ граждане, организации и иные лица вправе обратиться в арбитражный суд с заявлением о признании недействительными ненормативных правовых актов, незаконными решений и действий (бездействия) органов, осуществляющих публичные полномочия, должностных лиц, если полагают, что оспариваемый ненормативный правовой акт, решение и действие (бездействие) не соответствуют закону или иному нормативному правовому акту и нарушают их права и законные интересы в сфере предпринимательской и иной экономической деятельности, незаконно возлагают на них какие-либо обязанности, создают иные препятствия для осуществления предпринимательской и иной экономической деятельности.</w:t>
      </w:r>
    </w:p>
    <w:p>
      <w:pPr>
        <w:pStyle w:val="0"/>
        <w:spacing w:before="200" w:lineRule="auto"/>
        <w:ind w:firstLine="540"/>
        <w:jc w:val="both"/>
      </w:pPr>
      <w:r>
        <w:rPr>
          <w:sz w:val="20"/>
        </w:rPr>
        <w:t xml:space="preserve">Согласно </w:t>
      </w:r>
      <w:r>
        <w:rPr>
          <w:sz w:val="20"/>
        </w:rPr>
        <w:t xml:space="preserve">части 4 статьи 200</w:t>
      </w:r>
      <w:r>
        <w:rPr>
          <w:sz w:val="20"/>
        </w:rPr>
        <w:t xml:space="preserve"> АПК РФ при рассмотрении дел об оспаривании ненормативных правовых актов, решений и действий (бездействия) органов, осуществляющих публичные полномочия, должностных лиц арбитражный суд в судебном заседании осуществляет проверку оспариваемого акта или его отдельных положений, оспариваемых решений и действий (бездействия) и устанавливает их соответствие закону или иному нормативному правовому акту, устанавливает наличие полномочий у органа или лица, которые приняли оспариваемый акт, решение или совершили оспариваемые действия (бездействие), а также устанавливает, нарушают ли оспариваемый акт, решение и действия (бездействие) права и законные интересы заявителя в сфере предпринимательской и иной экономической деятельности.</w:t>
      </w:r>
    </w:p>
    <w:p>
      <w:pPr>
        <w:pStyle w:val="0"/>
        <w:spacing w:before="200" w:lineRule="auto"/>
        <w:ind w:firstLine="540"/>
        <w:jc w:val="both"/>
      </w:pPr>
      <w:r>
        <w:rPr>
          <w:sz w:val="20"/>
        </w:rPr>
        <w:t xml:space="preserve">Исходя из </w:t>
      </w:r>
      <w:r>
        <w:rPr>
          <w:sz w:val="20"/>
        </w:rPr>
        <w:t xml:space="preserve">части 5 статьи 200</w:t>
      </w:r>
      <w:r>
        <w:rPr>
          <w:sz w:val="20"/>
        </w:rPr>
        <w:t xml:space="preserve"> АПК РФ, обязанность доказывания соответствия оспариваемого ненормативного правового акта закону или иному нормативному правовому акту, законности принятия оспариваемого решения, совершения оспариваемых действий (бездействия), наличия у органа или лица надлежащих полномочий на принятие оспариваемого акта, решения, совершение оспариваемых действий (бездействия), а также обстоятельств, послуживших основанием для принятия оспариваемого акта, решения, совершения оспариваемых действий (бездействия), возлагается на орган или лицо, которые приняли акт, решение или совершили действия (бездействие).</w:t>
      </w:r>
    </w:p>
    <w:p>
      <w:pPr>
        <w:pStyle w:val="0"/>
        <w:spacing w:before="200" w:lineRule="auto"/>
        <w:ind w:firstLine="540"/>
        <w:jc w:val="both"/>
      </w:pPr>
      <w:r>
        <w:rPr>
          <w:sz w:val="20"/>
        </w:rPr>
        <w:t xml:space="preserve">Таким образом, для признания незаконным решения государственного органа, органов местного самоуправления необходимо установить наличие в совокупности двух условий: противоречие оспариваемого решения требованиям законодательства, действовавшего в месте и на момент его совершения, и нарушение прав и законных интересов заявителя в сфере предпринимательской или иной экономической деятельности.</w:t>
      </w:r>
    </w:p>
    <w:p>
      <w:pPr>
        <w:pStyle w:val="0"/>
        <w:spacing w:before="200" w:lineRule="auto"/>
        <w:ind w:firstLine="540"/>
        <w:jc w:val="both"/>
      </w:pPr>
      <w:r>
        <w:rPr>
          <w:sz w:val="20"/>
        </w:rPr>
        <w:t xml:space="preserve">В соответствии с </w:t>
      </w:r>
      <w:r>
        <w:rPr>
          <w:sz w:val="20"/>
        </w:rPr>
        <w:t xml:space="preserve">подпунктом 6 пункта 1 статьи 39.33</w:t>
      </w:r>
      <w:r>
        <w:rPr>
          <w:sz w:val="20"/>
        </w:rPr>
        <w:t xml:space="preserve"> Земельного кодекса Российской Федерации (далее - ЗК РФ) в целях размещения нестационарных торговых объектов, рекламных конструкций, а также иных объектов, виды которых устанавливаются Правительством Российской Федерации, использование земель или земельных участков, находящихся в государственной или муниципальной собственности, может осуществляться без предоставления земельных участков.</w:t>
      </w:r>
    </w:p>
    <w:p>
      <w:pPr>
        <w:pStyle w:val="0"/>
        <w:spacing w:before="200" w:lineRule="auto"/>
        <w:ind w:firstLine="540"/>
        <w:jc w:val="both"/>
      </w:pPr>
      <w:r>
        <w:rPr>
          <w:sz w:val="20"/>
        </w:rPr>
        <w:t xml:space="preserve">В силу </w:t>
      </w:r>
      <w:r>
        <w:rPr>
          <w:sz w:val="20"/>
        </w:rPr>
        <w:t xml:space="preserve">пункта 1 статьи 39.36</w:t>
      </w:r>
      <w:r>
        <w:rPr>
          <w:sz w:val="20"/>
        </w:rPr>
        <w:t xml:space="preserve"> ЗК РФ размещение нестационарных торговых объектов на землях или земельных участках, находящихся в государственной или муниципальной собственности, осуществляется на основании схемы размещения нестационарных торговых объектов в соответствии с Федеральным </w:t>
      </w:r>
      <w:r>
        <w:rPr>
          <w:sz w:val="20"/>
        </w:rPr>
        <w:t xml:space="preserve">законом</w:t>
      </w:r>
      <w:r>
        <w:rPr>
          <w:sz w:val="20"/>
        </w:rPr>
        <w:t xml:space="preserve"> от 28.12.2009 N 381-ФЗ "Об основах государственного регулирования торговой деятельности в Российской Федерации" (далее - Закон N 381-ФЗ).</w:t>
      </w:r>
    </w:p>
    <w:p>
      <w:pPr>
        <w:pStyle w:val="0"/>
        <w:spacing w:before="200" w:lineRule="auto"/>
        <w:ind w:firstLine="540"/>
        <w:jc w:val="both"/>
      </w:pPr>
      <w:r>
        <w:rPr>
          <w:sz w:val="20"/>
        </w:rPr>
        <w:t xml:space="preserve">Нестационарным торговым объектом является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 (</w:t>
      </w:r>
      <w:r>
        <w:rPr>
          <w:sz w:val="20"/>
        </w:rPr>
        <w:t xml:space="preserve">пункт 6 статьи 2</w:t>
      </w:r>
      <w:r>
        <w:rPr>
          <w:sz w:val="20"/>
        </w:rPr>
        <w:t xml:space="preserve"> Закона N 381-ФЗ).</w:t>
      </w:r>
    </w:p>
    <w:p>
      <w:pPr>
        <w:pStyle w:val="0"/>
        <w:spacing w:before="200" w:lineRule="auto"/>
        <w:ind w:firstLine="540"/>
        <w:jc w:val="both"/>
      </w:pPr>
      <w:r>
        <w:rPr>
          <w:sz w:val="20"/>
        </w:rPr>
        <w:t xml:space="preserve">В соответствии со </w:t>
      </w:r>
      <w:r>
        <w:rPr>
          <w:sz w:val="20"/>
        </w:rPr>
        <w:t xml:space="preserve">статьей 10</w:t>
      </w:r>
      <w:r>
        <w:rPr>
          <w:sz w:val="20"/>
        </w:rPr>
        <w:t xml:space="preserve"> Закона N 381-ФЗ размещение нестационарных торговых объектов на земельных участках, в зданиях, строениях, сооружениях, находящихся в государственной собственности или муниципальной собственности, осуществляется в соответствии со схемой размещения нестационарных торговых объектов, которая разрабатывается и утверждается органами местного самоуправления в порядке, установленном уполномоченным органом исполнительной власти субъекта Российской Федерации.</w:t>
      </w:r>
    </w:p>
    <w:p>
      <w:pPr>
        <w:pStyle w:val="0"/>
        <w:spacing w:before="200" w:lineRule="auto"/>
        <w:ind w:firstLine="540"/>
        <w:jc w:val="both"/>
      </w:pPr>
      <w:r>
        <w:rPr>
          <w:sz w:val="20"/>
        </w:rPr>
        <w:t xml:space="preserve">Основанием для размещения нестационарного торгового объекта является схема и договор на размещение нестационарного торгового объекта, предметом которого является предоставление места для размещения нестационарного торгового объекта в соответствии со схемой.</w:t>
      </w:r>
    </w:p>
    <w:p>
      <w:pPr>
        <w:pStyle w:val="0"/>
        <w:spacing w:before="200" w:lineRule="auto"/>
        <w:ind w:firstLine="540"/>
        <w:jc w:val="both"/>
      </w:pPr>
      <w:r>
        <w:rPr>
          <w:sz w:val="20"/>
        </w:rPr>
        <w:t xml:space="preserve">Спорные нестационарные торговые объекты включены в схему размещения нестационарных торговых объектов на территории Верх-Исетского района города Екатеринбурга.</w:t>
      </w:r>
    </w:p>
    <w:p>
      <w:pPr>
        <w:pStyle w:val="0"/>
        <w:spacing w:before="200" w:lineRule="auto"/>
        <w:ind w:firstLine="540"/>
        <w:jc w:val="both"/>
      </w:pPr>
      <w:r>
        <w:rPr>
          <w:sz w:val="20"/>
        </w:rPr>
        <w:t xml:space="preserve">Заявитель право на размещение объектов связывает с действующими договорами по предоставлению права на размещение нестационарных объектов от 01.09.2020 N 176-2020/ВИ, от 01.09.2020 N 182-2020/ВИ, от 01.09.2020 N 183-2020/ВИ. По мнению заявителя, договоры действуют и не прекращались по причине смерти наследодателя, поскольку арендные отношения не являются неразрывно связанными с личностью. Ссылается на то, что права и обязанности по договорам перешли Гусейновой Р.Г. независимо от наличия или отсутствия статуса индивидуального предпринимателя (универсальное правопреемство). Полагает, что передача прав (уступка) по договорам соответствует законодательству.</w:t>
      </w:r>
    </w:p>
    <w:p>
      <w:pPr>
        <w:pStyle w:val="0"/>
        <w:spacing w:before="200" w:lineRule="auto"/>
        <w:ind w:firstLine="540"/>
        <w:jc w:val="both"/>
      </w:pPr>
      <w:r>
        <w:rPr>
          <w:sz w:val="20"/>
        </w:rPr>
        <w:t xml:space="preserve">Из материалов дела следует, что договоры от 01.09.2020 N 176-2020/ВИ, от 01.09.2020 N 182-2020/ВИ, от 01.09.2020 N 183-2020/ВИ заключались с предпринимателем Гусейновым Гашам Алиага оглы, который умер 15.09.2022.</w:t>
      </w:r>
    </w:p>
    <w:p>
      <w:pPr>
        <w:pStyle w:val="0"/>
        <w:spacing w:before="200" w:lineRule="auto"/>
        <w:ind w:firstLine="540"/>
        <w:jc w:val="both"/>
      </w:pPr>
      <w:r>
        <w:rPr>
          <w:sz w:val="20"/>
        </w:rPr>
        <w:t xml:space="preserve">С наследницей Гусейновой Рубаба Гашам кызы договоры не перезаключались.</w:t>
      </w:r>
    </w:p>
    <w:p>
      <w:pPr>
        <w:pStyle w:val="0"/>
        <w:spacing w:before="200" w:lineRule="auto"/>
        <w:ind w:firstLine="540"/>
        <w:jc w:val="both"/>
      </w:pPr>
      <w:r>
        <w:rPr>
          <w:sz w:val="20"/>
        </w:rPr>
        <w:t xml:space="preserve">Приказом Администрации Верх-Исетского района города Екатеринбурга от 18.07.2023 N 35/41/62 действие договоров, предусматривающих размещение нестационарных торговых объектов, заключенных Администрацией Верх-Исетского района с ИП Гусейновым Гашамом Алиага оглы от 01.09.2020, в том числе N 176-2020/ВИ, N 182-2020/ВИ, N 183-2020/ВИ с 18.07.2023 прекращены в соответствии со </w:t>
      </w:r>
      <w:r>
        <w:rPr>
          <w:sz w:val="20"/>
        </w:rPr>
        <w:t xml:space="preserve">статьями 17</w:t>
      </w:r>
      <w:r>
        <w:rPr>
          <w:sz w:val="20"/>
        </w:rPr>
        <w:t xml:space="preserve">, </w:t>
      </w:r>
      <w:r>
        <w:rPr>
          <w:sz w:val="20"/>
        </w:rPr>
        <w:t xml:space="preserve">418</w:t>
      </w:r>
      <w:r>
        <w:rPr>
          <w:sz w:val="20"/>
        </w:rPr>
        <w:t xml:space="preserve"> Гражданского кодекса Российской Федерации (далее - ГК РФ).</w:t>
      </w:r>
    </w:p>
    <w:p>
      <w:pPr>
        <w:pStyle w:val="0"/>
        <w:spacing w:before="200" w:lineRule="auto"/>
        <w:ind w:firstLine="540"/>
        <w:jc w:val="both"/>
      </w:pPr>
      <w:r>
        <w:rPr>
          <w:sz w:val="20"/>
        </w:rPr>
        <w:t xml:space="preserve">Решением Верх-Исетского районного суда города Екатеринбурга от 18.12.2013 по делу N 2-8432/2023, оставленным без изменения апелляционным </w:t>
      </w:r>
      <w:r>
        <w:rPr>
          <w:sz w:val="20"/>
        </w:rPr>
        <w:t xml:space="preserve">определением</w:t>
      </w:r>
      <w:r>
        <w:rPr>
          <w:sz w:val="20"/>
        </w:rPr>
        <w:t xml:space="preserve"> Свердловского областного суда от 05.06.2024 по делу N 33-8273/2024, в удовлетворении исковых требований Гусейновой Р.Г. и предпринимателя Гусейнова Т.М. о признании состоявшимся перехода прав и обязанностей, в том числе по договорам N 176-2020/ВИ, N 182-2020/ВИ, N 183-2020/ВИ от 01.09.2020 с Гусейнова Гашам Алиага оглы на Гусейнову Рубаба Гашам кызы на основании Свидетельства о праве на наследство по закону 66 АА 8030703 от 11.07.2023; о возложении на Администрацию Верх-Исетского района г. Екатеринбурга обязанности заключить дополнительное соглашение с предпринимателем Гусейновым Т.М. к договорам N 176-2020/ВИ, N 182-2020/ВИ, N 183-2020/ВИ, предусматривающее размещение нестационарного торгового объекта от 01.09.2020, продлении договора до 01.09.2025 и замене стороны арендатора в договоре на индивидуального предпринимателя Гусейнова Т.М., отказано.</w:t>
      </w:r>
    </w:p>
    <w:p>
      <w:pPr>
        <w:pStyle w:val="0"/>
        <w:spacing w:before="200" w:lineRule="auto"/>
        <w:ind w:firstLine="540"/>
        <w:jc w:val="both"/>
      </w:pPr>
      <w:r>
        <w:rPr>
          <w:sz w:val="20"/>
        </w:rPr>
        <w:t xml:space="preserve">Постановлением Правительства Свердловской области от 14.03.2019 N 164-ПП утвержден </w:t>
      </w:r>
      <w:r>
        <w:rPr>
          <w:sz w:val="20"/>
        </w:rPr>
        <w:t xml:space="preserve">Порядок</w:t>
      </w:r>
      <w:r>
        <w:rPr>
          <w:sz w:val="20"/>
        </w:rPr>
        <w:t xml:space="preserve"> размещения нестационарных торговых объектов на территории Свердловской области (далее - Постановление от 14.03.2019 N 164-ПП).</w:t>
      </w:r>
    </w:p>
    <w:p>
      <w:pPr>
        <w:pStyle w:val="0"/>
        <w:spacing w:before="200" w:lineRule="auto"/>
        <w:ind w:firstLine="540"/>
        <w:jc w:val="both"/>
      </w:pPr>
      <w:r>
        <w:rPr>
          <w:sz w:val="20"/>
        </w:rPr>
        <w:t xml:space="preserve">Размещение нестационарного торгового объекта осуществляется на основании договора, предусматривающего размещение нестационарного торгового объекта в определенном схемой месте, заключаемого в соответствии с законодательством Российской Федерации и законодательством Свердловской области (подп. 6 части 4 главы 1 Постановления от 14.03.2019 N 164-ПП).</w:t>
      </w:r>
    </w:p>
    <w:p>
      <w:pPr>
        <w:pStyle w:val="0"/>
        <w:spacing w:before="200" w:lineRule="auto"/>
        <w:ind w:firstLine="540"/>
        <w:jc w:val="both"/>
      </w:pPr>
      <w:r>
        <w:rPr>
          <w:sz w:val="20"/>
        </w:rPr>
        <w:t xml:space="preserve">Пункт 4</w:t>
      </w:r>
      <w:r>
        <w:rPr>
          <w:sz w:val="20"/>
        </w:rPr>
        <w:t xml:space="preserve"> Постановления от 14.03.2019 N 164-ПП определяющий понятие договора, предусматривающего размещение нестационарного торгового объекта, указывает, что это договор, заключаемый с хозяйствующим субъектом, в котором указаны место (адресный ориентир) нестационарного торгового объекта, площадь места, предоставляемого под размещение нестационарного торгового объекта, срок размещения нестационарного торгового объекта, категория хозяйствующих субъектов, размер, сроки и условия платы за размещение нестационарного торгового объекта (далее - договор).</w:t>
      </w:r>
    </w:p>
    <w:p>
      <w:pPr>
        <w:pStyle w:val="0"/>
        <w:spacing w:before="200" w:lineRule="auto"/>
        <w:ind w:firstLine="540"/>
        <w:jc w:val="both"/>
      </w:pPr>
      <w:r>
        <w:rPr>
          <w:sz w:val="20"/>
        </w:rPr>
        <w:t xml:space="preserve">При этом, согласно </w:t>
      </w:r>
      <w:r>
        <w:rPr>
          <w:sz w:val="20"/>
        </w:rPr>
        <w:t xml:space="preserve">п. 5 ст. 4</w:t>
      </w:r>
      <w:r>
        <w:rPr>
          <w:sz w:val="20"/>
        </w:rPr>
        <w:t xml:space="preserve"> Федерального закона от 26.07.2006 N 135-ФЗ "О защите конкуренции" под хозяйствующим субъектом понимается коммерческая организация, некоммерческая организация, осуществляющая деятельность, приносящую ей доход, индивидуальный предприниматель, иное физическое лицо, не зарегистрированное в качестве индивидуального предпринимателя, но осуществляющее профессиональную деятельность, приносящую доход, в соответствии с федеральными законами на основании государственной регистрации и (или) лицензии, а также в силу членства в саморегулируемой организации.</w:t>
      </w:r>
    </w:p>
    <w:p>
      <w:pPr>
        <w:pStyle w:val="0"/>
        <w:spacing w:before="200" w:lineRule="auto"/>
        <w:ind w:firstLine="540"/>
        <w:jc w:val="both"/>
      </w:pPr>
      <w:r>
        <w:rPr>
          <w:sz w:val="20"/>
        </w:rPr>
        <w:t xml:space="preserve">Пункт 4</w:t>
      </w:r>
      <w:r>
        <w:rPr>
          <w:sz w:val="20"/>
        </w:rPr>
        <w:t xml:space="preserve"> Постановления от 14.03.2019 N 164-ПП также предусматривает, что хозяйствующий субъект - коммерческая организация, некоммерческая организация, индивидуальный предприниматель, физическое лицо, не являющееся индивидуальным предпринимателем и применяющее специальный налоговый режим "Налог на профессиональный доход", в течение срока проведения эксперимента, установленного Федеральным </w:t>
      </w:r>
      <w:r>
        <w:rPr>
          <w:sz w:val="20"/>
        </w:rPr>
        <w:t xml:space="preserve">законом</w:t>
      </w:r>
      <w:r>
        <w:rPr>
          <w:sz w:val="20"/>
        </w:rPr>
        <w:t xml:space="preserve"> от 27 ноября 2018 года N 422-ФЗ "О проведении эксперимента по установлению специального налогового режима "Налог на профессиональный доход", осуществляющие деятельность, приносящую доход.</w:t>
      </w:r>
    </w:p>
    <w:p>
      <w:pPr>
        <w:pStyle w:val="0"/>
        <w:spacing w:before="200" w:lineRule="auto"/>
        <w:ind w:firstLine="540"/>
        <w:jc w:val="both"/>
      </w:pPr>
      <w:r>
        <w:rPr>
          <w:sz w:val="20"/>
        </w:rPr>
        <w:t xml:space="preserve">Основополагающий порядок размещения нестационарных торговых объектов за землях, находящихся в государственной собственности или муниципальной собственности, установлен </w:t>
      </w:r>
      <w:r>
        <w:rPr>
          <w:sz w:val="20"/>
        </w:rPr>
        <w:t xml:space="preserve">Законом</w:t>
      </w:r>
      <w:r>
        <w:rPr>
          <w:sz w:val="20"/>
        </w:rPr>
        <w:t xml:space="preserve"> N 381-ФЗ, </w:t>
      </w:r>
      <w:r>
        <w:rPr>
          <w:sz w:val="20"/>
        </w:rPr>
        <w:t xml:space="preserve">ст. 2</w:t>
      </w:r>
      <w:r>
        <w:rPr>
          <w:sz w:val="20"/>
        </w:rPr>
        <w:t xml:space="preserve"> которого определяет, что торговая деятельность - вид предпринимательской деятельности, а нестационарный торговый объект - торговый объект специально оснащенный оборудованием, предназначенным и используемым для выкладки, демонстрации товаров, обслуживания покупателей и проведения денежных расчетов с покупателями при продаже товаров, соответственно наличие статуса хозяйствующего субъекта для правообладателя как стороны договора, предусматривающего размещение нестационарного торгового объекта, является обязательным.</w:t>
      </w:r>
    </w:p>
    <w:p>
      <w:pPr>
        <w:pStyle w:val="0"/>
        <w:spacing w:before="200" w:lineRule="auto"/>
        <w:ind w:firstLine="540"/>
        <w:jc w:val="both"/>
      </w:pPr>
      <w:r>
        <w:rPr>
          <w:sz w:val="20"/>
        </w:rPr>
        <w:t xml:space="preserve">Наследница Гусейнова Рубаба Гашам кызы статуса хозяйствующего субъекта не имеет, не зарегистрирована в качестве индивидуального предпринимателя или физического лица, применяющего специальный налоговый режим "Налог на профессиональный доход".</w:t>
      </w:r>
    </w:p>
    <w:p>
      <w:pPr>
        <w:pStyle w:val="0"/>
        <w:spacing w:before="200" w:lineRule="auto"/>
        <w:ind w:firstLine="540"/>
        <w:jc w:val="both"/>
      </w:pPr>
      <w:r>
        <w:rPr>
          <w:sz w:val="20"/>
        </w:rPr>
        <w:t xml:space="preserve">Универсальный характер перехода прав и обязанностей при наследовании означает, что наследник становится полноценным участниками тех правоотношений, в которых участвовал наследодатель.</w:t>
      </w:r>
    </w:p>
    <w:p>
      <w:pPr>
        <w:pStyle w:val="0"/>
        <w:spacing w:before="200" w:lineRule="auto"/>
        <w:ind w:firstLine="540"/>
        <w:jc w:val="both"/>
      </w:pPr>
      <w:r>
        <w:rPr>
          <w:sz w:val="20"/>
        </w:rPr>
        <w:t xml:space="preserve">В силу </w:t>
      </w:r>
      <w:r>
        <w:rPr>
          <w:sz w:val="20"/>
        </w:rPr>
        <w:t xml:space="preserve">статьи 17</w:t>
      </w:r>
      <w:r>
        <w:rPr>
          <w:sz w:val="20"/>
        </w:rPr>
        <w:t xml:space="preserve"> ГК РФ способность иметь гражданские права и нести обязанности (гражданская правоспособность) признается в равной мере за всеми гражданами. Правоспособность гражданина возникает в момент его рождения и прекращается смертью.</w:t>
      </w:r>
    </w:p>
    <w:p>
      <w:pPr>
        <w:pStyle w:val="0"/>
        <w:spacing w:before="200" w:lineRule="auto"/>
        <w:ind w:firstLine="540"/>
        <w:jc w:val="both"/>
      </w:pPr>
      <w:r>
        <w:rPr>
          <w:sz w:val="20"/>
        </w:rPr>
        <w:t xml:space="preserve">Согласно </w:t>
      </w:r>
      <w:r>
        <w:rPr>
          <w:sz w:val="20"/>
        </w:rPr>
        <w:t xml:space="preserve">статье 18</w:t>
      </w:r>
      <w:r>
        <w:rPr>
          <w:sz w:val="20"/>
        </w:rPr>
        <w:t xml:space="preserve"> ГК РФ занятие предпринимательской и любой иной не запрещенной законом деятельностью, совершение любых не противоречащих закону сделок и участие в обязательствах, обладание иными имущественными и личными неимущественными правами являются неотъемлемыми элементами содержания правоспособности граждан.</w:t>
      </w:r>
    </w:p>
    <w:p>
      <w:pPr>
        <w:pStyle w:val="0"/>
        <w:spacing w:before="200" w:lineRule="auto"/>
        <w:ind w:firstLine="540"/>
        <w:jc w:val="both"/>
      </w:pPr>
      <w:r>
        <w:rPr>
          <w:sz w:val="20"/>
        </w:rPr>
        <w:t xml:space="preserve">Никто не может быть ограничен в правоспособности и дееспособности иначе, как в случаях и в порядке, установленных законом (</w:t>
      </w:r>
      <w:r>
        <w:rPr>
          <w:sz w:val="20"/>
        </w:rPr>
        <w:t xml:space="preserve">пункт 1 статьи 22</w:t>
      </w:r>
      <w:r>
        <w:rPr>
          <w:sz w:val="20"/>
        </w:rPr>
        <w:t xml:space="preserve"> ГК РФ).</w:t>
      </w:r>
    </w:p>
    <w:p>
      <w:pPr>
        <w:pStyle w:val="0"/>
        <w:spacing w:before="200" w:lineRule="auto"/>
        <w:ind w:firstLine="540"/>
        <w:jc w:val="both"/>
      </w:pPr>
      <w:r>
        <w:rPr>
          <w:sz w:val="20"/>
        </w:rPr>
        <w:t xml:space="preserve">В соответствии с </w:t>
      </w:r>
      <w:r>
        <w:rPr>
          <w:sz w:val="20"/>
        </w:rPr>
        <w:t xml:space="preserve">пунктом 1 статьи 23</w:t>
      </w:r>
      <w:r>
        <w:rPr>
          <w:sz w:val="20"/>
        </w:rPr>
        <w:t xml:space="preserve"> ГК РФ гражданин вправе заниматься предпринимательской деятельностью без образования юридического лица с момента государственной регистрации в качестве индивидуального предпринимателя.</w:t>
      </w:r>
    </w:p>
    <w:p>
      <w:pPr>
        <w:pStyle w:val="0"/>
        <w:spacing w:before="200" w:lineRule="auto"/>
        <w:ind w:firstLine="540"/>
        <w:jc w:val="both"/>
      </w:pPr>
      <w:r>
        <w:rPr>
          <w:sz w:val="20"/>
        </w:rPr>
        <w:t xml:space="preserve">Реализация гражданином одного из правомочий, составляющих содержание правоспособности, путем государственной регистрации в качестве предпринимателя (</w:t>
      </w:r>
      <w:r>
        <w:rPr>
          <w:sz w:val="20"/>
        </w:rPr>
        <w:t xml:space="preserve">ч. 1 ст. 23</w:t>
      </w:r>
      <w:r>
        <w:rPr>
          <w:sz w:val="20"/>
        </w:rPr>
        <w:t xml:space="preserve"> ГК РФ) не создает нового субъекта гражданского права в виде индивидуального предпринимателя, а лишь наделяет гражданина специальным статусом, связанным с занятием предпринимательской деятельностью.</w:t>
      </w:r>
    </w:p>
    <w:p>
      <w:pPr>
        <w:pStyle w:val="0"/>
        <w:spacing w:before="200" w:lineRule="auto"/>
        <w:ind w:firstLine="540"/>
        <w:jc w:val="both"/>
      </w:pPr>
      <w:r>
        <w:rPr>
          <w:sz w:val="20"/>
        </w:rPr>
        <w:t xml:space="preserve">Исходя из вышеизложенных норм права, можно сделать вывод, что статус индивидуального предпринимателя, а также его процессуальные права и обязанности, в том числе право размещения нестационарных торговых объектов для осуществления торговли, неразрывно связаны с его личностью.</w:t>
      </w:r>
    </w:p>
    <w:p>
      <w:pPr>
        <w:pStyle w:val="0"/>
        <w:spacing w:before="200" w:lineRule="auto"/>
        <w:ind w:firstLine="540"/>
        <w:jc w:val="both"/>
      </w:pPr>
      <w:r>
        <w:rPr>
          <w:sz w:val="20"/>
        </w:rPr>
        <w:t xml:space="preserve">Согласно </w:t>
      </w:r>
      <w:r>
        <w:rPr>
          <w:sz w:val="20"/>
        </w:rPr>
        <w:t xml:space="preserve">статье 1112</w:t>
      </w:r>
      <w:r>
        <w:rPr>
          <w:sz w:val="20"/>
        </w:rPr>
        <w:t xml:space="preserve"> ГК РФ в состав наследства входят принадлежавшие наследодателю на день открытия наследства вещи, иное имущество, в том числе имущественные права и обязанности. Не входят в состав наследства права и обязанности, неразрывно связанные с личностью наследодателя, в частности право на алименты, право на возмещение вреда, причиненного жизни или здоровью гражданина, а также права и обязанности, переход которых в порядке наследования не допускается настоящим Кодексом или другими законами. Не входят в состав наследства личные неимущественные права и другие нематериальные блага.</w:t>
      </w:r>
    </w:p>
    <w:p>
      <w:pPr>
        <w:pStyle w:val="0"/>
        <w:spacing w:before="200" w:lineRule="auto"/>
        <w:ind w:firstLine="540"/>
        <w:jc w:val="both"/>
      </w:pPr>
      <w:r>
        <w:rPr>
          <w:sz w:val="20"/>
        </w:rPr>
        <w:t xml:space="preserve">Федеральным </w:t>
      </w:r>
      <w:r>
        <w:rPr>
          <w:sz w:val="20"/>
        </w:rPr>
        <w:t xml:space="preserve">законом</w:t>
      </w:r>
      <w:r>
        <w:rPr>
          <w:sz w:val="20"/>
        </w:rPr>
        <w:t xml:space="preserve"> от 08.08.2001 N 129-ФЗ "О государственной регистрации юридических лиц и индивидуальных предпринимателей" также не допускается переход статуса индивидуального предпринимателя от одного лица к другому. </w:t>
      </w:r>
      <w:r>
        <w:rPr>
          <w:sz w:val="20"/>
        </w:rPr>
        <w:t xml:space="preserve">Пунктом 2 статьи 22.3</w:t>
      </w:r>
      <w:r>
        <w:rPr>
          <w:sz w:val="20"/>
        </w:rPr>
        <w:t xml:space="preserve"> Федерального закона от 08.08.2001 N 129-ФЗ "О государственной регистрации юридических лиц и индивидуальных предпринимателей" предусмотрено, что статус индивидуального предпринимателя прекращается с его смертью.</w:t>
      </w:r>
    </w:p>
    <w:p>
      <w:pPr>
        <w:pStyle w:val="0"/>
        <w:spacing w:before="200" w:lineRule="auto"/>
        <w:ind w:firstLine="540"/>
        <w:jc w:val="both"/>
      </w:pPr>
      <w:r>
        <w:rPr>
          <w:sz w:val="20"/>
        </w:rPr>
        <w:t xml:space="preserve">Следовательно, наследование статуса индивидуального предпринимателя, а также его процессуальных прав и обязанностей не допускается.</w:t>
      </w:r>
    </w:p>
    <w:p>
      <w:pPr>
        <w:pStyle w:val="0"/>
        <w:spacing w:before="200" w:lineRule="auto"/>
        <w:ind w:firstLine="540"/>
        <w:jc w:val="both"/>
      </w:pPr>
      <w:r>
        <w:rPr>
          <w:sz w:val="20"/>
        </w:rPr>
        <w:t xml:space="preserve">Таким образом, наследник умершего индивидуального предпринимателя Гусейнова Гашам Алиага оглы Гусейнова Рубаба Гашам кызы не вправе претендовать на наследование права размещения спорных нестационарных торговых объектов для осуществления торговли.</w:t>
      </w:r>
    </w:p>
    <w:p>
      <w:pPr>
        <w:pStyle w:val="0"/>
        <w:spacing w:before="200" w:lineRule="auto"/>
        <w:ind w:firstLine="540"/>
        <w:jc w:val="both"/>
      </w:pPr>
      <w:r>
        <w:rPr>
          <w:sz w:val="20"/>
        </w:rPr>
        <w:t xml:space="preserve">В соответствии с </w:t>
      </w:r>
      <w:r>
        <w:rPr>
          <w:sz w:val="20"/>
        </w:rPr>
        <w:t xml:space="preserve">пунктом 1 статьи 418</w:t>
      </w:r>
      <w:r>
        <w:rPr>
          <w:sz w:val="20"/>
        </w:rPr>
        <w:t xml:space="preserve"> ГК РФ обязательство прекращается смертью должника, если исполнение не может быть произведено без личного участия должника либо обязательство иным образом неразрывно связано с личностью должника.</w:t>
      </w:r>
    </w:p>
    <w:p>
      <w:pPr>
        <w:pStyle w:val="0"/>
        <w:spacing w:before="200" w:lineRule="auto"/>
        <w:ind w:firstLine="540"/>
        <w:jc w:val="both"/>
      </w:pPr>
      <w:r>
        <w:rPr>
          <w:sz w:val="20"/>
        </w:rPr>
        <w:t xml:space="preserve">Поскольку статус индивидуального предпринимателя неразрывно связан с личностью гражданина и отнесен к личным неимущественным правам гражданина, которые в силу </w:t>
      </w:r>
      <w:r>
        <w:rPr>
          <w:sz w:val="20"/>
        </w:rPr>
        <w:t xml:space="preserve">статьи 1112</w:t>
      </w:r>
      <w:r>
        <w:rPr>
          <w:sz w:val="20"/>
        </w:rPr>
        <w:t xml:space="preserve"> ГК РФ наследованию не подлежат, обязательство по договору аренды прекращается смертью арендатора.</w:t>
      </w:r>
    </w:p>
    <w:p>
      <w:pPr>
        <w:pStyle w:val="0"/>
        <w:spacing w:before="200" w:lineRule="auto"/>
        <w:ind w:firstLine="540"/>
        <w:jc w:val="both"/>
      </w:pPr>
      <w:r>
        <w:rPr>
          <w:sz w:val="20"/>
        </w:rPr>
        <w:t xml:space="preserve">Таким образом, в случае, если арендатор обладал статусом индивидуального предпринимателя, право аренды имущества не входит в состав наследственной массы и не может быть передано наследникам гражданина.</w:t>
      </w:r>
    </w:p>
    <w:p>
      <w:pPr>
        <w:pStyle w:val="0"/>
        <w:spacing w:before="200" w:lineRule="auto"/>
        <w:ind w:firstLine="540"/>
        <w:jc w:val="both"/>
      </w:pPr>
      <w:r>
        <w:rPr>
          <w:sz w:val="20"/>
        </w:rPr>
        <w:t xml:space="preserve">В рассматриваемом случае, переход прав и обязанностей по договорам на размещение нестационарных объектов от 01.09.2020 N 176-2020/ВИ, от 01.09.2020 N 182-2020/ВИ, от 01.09.2020 N 183-2020/ВИ в порядке универсального правопреемства в силу закона не может произойти, поскольку заключение договора, предусматривающего размещение нестационарного торгового объекта возможно лишь с хозяйствующим субъектом, наследница таким статусом не обладает, статус индивидуального предпринимателя неразрывно связан с личностью гражданина и отнесен к личным неимущественным правам гражданина, которые в силу </w:t>
      </w:r>
      <w:r>
        <w:rPr>
          <w:sz w:val="20"/>
        </w:rPr>
        <w:t xml:space="preserve">статьи 1112</w:t>
      </w:r>
      <w:r>
        <w:rPr>
          <w:sz w:val="20"/>
        </w:rPr>
        <w:t xml:space="preserve"> ГК РФ наследованию не подлежат.</w:t>
      </w:r>
    </w:p>
    <w:p>
      <w:pPr>
        <w:pStyle w:val="0"/>
        <w:spacing w:before="200" w:lineRule="auto"/>
        <w:ind w:firstLine="540"/>
        <w:jc w:val="both"/>
      </w:pPr>
      <w:r>
        <w:rPr>
          <w:sz w:val="20"/>
        </w:rPr>
        <w:t xml:space="preserve">Постановлением от 14.03.2019 N 164-ПП определено общее правило, согласно которому заключение договора осуществляется по результатам торгов в форме аукциона, за исключением случаев, указанных в пункте 13 настоящего порядка (</w:t>
      </w:r>
      <w:r>
        <w:rPr>
          <w:sz w:val="20"/>
        </w:rPr>
        <w:t xml:space="preserve">п. 11</w:t>
      </w:r>
      <w:r>
        <w:rPr>
          <w:sz w:val="20"/>
        </w:rPr>
        <w:t xml:space="preserve"> Постановления от 14.03.2019 N 164-ПП).</w:t>
      </w:r>
    </w:p>
    <w:p>
      <w:pPr>
        <w:pStyle w:val="0"/>
        <w:spacing w:before="200" w:lineRule="auto"/>
        <w:ind w:firstLine="540"/>
        <w:jc w:val="both"/>
      </w:pPr>
      <w:r>
        <w:rPr>
          <w:sz w:val="20"/>
        </w:rPr>
        <w:t xml:space="preserve">Согласно </w:t>
      </w:r>
      <w:r>
        <w:rPr>
          <w:sz w:val="20"/>
        </w:rPr>
        <w:t xml:space="preserve">п. 13</w:t>
      </w:r>
      <w:r>
        <w:rPr>
          <w:sz w:val="20"/>
        </w:rPr>
        <w:t xml:space="preserve"> Постановления от 14.03.2019 N 164-ПП (в редакции от 06.02.2020) без проведения торгов договор заключается на основании заявления хозяйствующего субъекта о заключении договора, в том числе, в следующих случаях: обращение хозяйствующего субъекта в срок до 01.07.2020 в орган или бюджетное учреждение, указанные в пункте 7 настоящего порядка, с которым заключен договор для целей размещения нестационарного торгового объекта либо договор аренды земельного участка, предусматривающий размещение нестационарного торгового объекта в месте, включенном в схему, срок действия которого не истек; обращение в срок до 01.07.2020 в орган или бюджетное учреждение, указанные в пункте 7 настоящего порядка, при подтверждении добросовестного внесения платы и (или) отсутствии задолженности за размещение нестационарного торгового объекта в месте, включенном в схему, в отсутствие заключенного договора на размещение нестационарного торгового объекта либо договора аренды земельного участка, предусматривающего размещение нестационарного торгового объекта.</w:t>
      </w:r>
    </w:p>
    <w:p>
      <w:pPr>
        <w:pStyle w:val="0"/>
        <w:spacing w:before="200" w:lineRule="auto"/>
        <w:ind w:firstLine="540"/>
        <w:jc w:val="both"/>
      </w:pPr>
      <w:r>
        <w:rPr>
          <w:sz w:val="20"/>
        </w:rPr>
        <w:t xml:space="preserve">Таким образом, правом на заключение договора без проведения торгов обладает лицо, которое уже занимает земельный участок, в отношении которого желает заключить договор, и вносит плату за фактическое пользование этим участком. В указанном случае договор заключался на срок три года.</w:t>
      </w:r>
    </w:p>
    <w:p>
      <w:pPr>
        <w:pStyle w:val="0"/>
        <w:spacing w:before="200" w:lineRule="auto"/>
        <w:ind w:firstLine="540"/>
        <w:jc w:val="both"/>
      </w:pPr>
      <w:r>
        <w:rPr>
          <w:sz w:val="20"/>
        </w:rPr>
        <w:t xml:space="preserve">Из анализа приведенных положений следует, что право на заключение договора на размещение нестационарного торгового объекта без проведения торгов неразрывно связано с личностью субъекта, и представляет собой льготу, установленную в отношении определенного лица (лицо, осуществляющее торговую деятельность в ранее размещенном на том же месте НТО и надлежащим образом, исполнявшим свои обязанности по оплате). Спорные договоры с предпринимателем Гусейновым Гашам Алиага оглы в отступление от общего правила были заключены без проведения торгов, поскольку он отвечал необходимым для этого условиям.</w:t>
      </w:r>
    </w:p>
    <w:p>
      <w:pPr>
        <w:pStyle w:val="0"/>
        <w:spacing w:before="200" w:lineRule="auto"/>
        <w:ind w:firstLine="540"/>
        <w:jc w:val="both"/>
      </w:pPr>
      <w:r>
        <w:rPr>
          <w:sz w:val="20"/>
        </w:rPr>
        <w:t xml:space="preserve">Таким образом, право на заключение договоров на размещение нестационарных торговых объектов без торгов было неразрывно связано с личностью предпринимателя Гусейнова Гашам Алиага оглы, как субъекта, который ранее разместил торговые объекты в местах, установленных схемой размещения, и добросовестно вносил соответствующую плату за фактическое пользование, является по существу преференцией, предоставляемой указанному субъекту на определенный срок, соответственно предпринимательскую деятельность в нестационарных торговых объектах должно вести именно то лицо, с которым изначально были заключены договоры, и так как срок такой преференции является ограниченным, то в соответствии со </w:t>
      </w:r>
      <w:r>
        <w:rPr>
          <w:sz w:val="20"/>
        </w:rPr>
        <w:t xml:space="preserve">статьей 418</w:t>
      </w:r>
      <w:r>
        <w:rPr>
          <w:sz w:val="20"/>
        </w:rPr>
        <w:t xml:space="preserve"> ГК РФ с его смертью обязательства по договорам прекращаются.</w:t>
      </w:r>
    </w:p>
    <w:p>
      <w:pPr>
        <w:pStyle w:val="0"/>
        <w:spacing w:before="200" w:lineRule="auto"/>
        <w:ind w:firstLine="540"/>
        <w:jc w:val="both"/>
      </w:pPr>
      <w:r>
        <w:rPr>
          <w:sz w:val="20"/>
        </w:rPr>
        <w:t xml:space="preserve">Передачу прав (уступка) по договорам на размещение нестационарного торгового объекта на основании соглашений от 10.07.2023 также нельзя признать обоснованным.</w:t>
      </w:r>
    </w:p>
    <w:p>
      <w:pPr>
        <w:pStyle w:val="0"/>
        <w:spacing w:before="200" w:lineRule="auto"/>
        <w:ind w:firstLine="540"/>
        <w:jc w:val="both"/>
      </w:pPr>
      <w:r>
        <w:rPr>
          <w:sz w:val="20"/>
        </w:rPr>
        <w:t xml:space="preserve">В силу положений </w:t>
      </w:r>
      <w:r>
        <w:rPr>
          <w:sz w:val="20"/>
        </w:rPr>
        <w:t xml:space="preserve">ст. 382</w:t>
      </w:r>
      <w:r>
        <w:rPr>
          <w:sz w:val="20"/>
        </w:rPr>
        <w:t xml:space="preserve"> ГК РФ право (требование), принадлежащее на основании обязательства кредитору, может быть передано им другому лицу по сделке (уступка требования) или может перейти к другому лицу на основании закона. Для перехода к другому лицу прав кредитора не требуется согласие должника, если иное не предусмотрено законом или договором. Перевод должником своего долга на другое лицо допускается с согласия кредитора и при отсутствии такого согласия является ничтожным (</w:t>
      </w:r>
      <w:r>
        <w:rPr>
          <w:sz w:val="20"/>
        </w:rPr>
        <w:t xml:space="preserve">п. 2 ст. 391</w:t>
      </w:r>
      <w:r>
        <w:rPr>
          <w:sz w:val="20"/>
        </w:rPr>
        <w:t xml:space="preserve"> ГК РФ).</w:t>
      </w:r>
    </w:p>
    <w:p>
      <w:pPr>
        <w:pStyle w:val="0"/>
        <w:spacing w:before="200" w:lineRule="auto"/>
        <w:ind w:firstLine="540"/>
        <w:jc w:val="both"/>
      </w:pPr>
      <w:r>
        <w:rPr>
          <w:sz w:val="20"/>
        </w:rPr>
        <w:t xml:space="preserve">Пунктом 7</w:t>
      </w:r>
      <w:r>
        <w:rPr>
          <w:sz w:val="20"/>
        </w:rPr>
        <w:t xml:space="preserve"> Постановление от 14.03.2019 N 164-ПП предусмотрено, что договор заключается с хозяйствующим субъектом по результатам проведения торгов или без проведения торгов. Условия заключения договора без проведения торгов определены </w:t>
      </w:r>
      <w:r>
        <w:rPr>
          <w:sz w:val="20"/>
        </w:rPr>
        <w:t xml:space="preserve">главой 3</w:t>
      </w:r>
      <w:r>
        <w:rPr>
          <w:sz w:val="20"/>
        </w:rPr>
        <w:t xml:space="preserve"> Постановление от 14.03.2019 N 164-ПП.</w:t>
      </w:r>
    </w:p>
    <w:p>
      <w:pPr>
        <w:pStyle w:val="0"/>
        <w:spacing w:before="200" w:lineRule="auto"/>
        <w:ind w:firstLine="540"/>
        <w:jc w:val="both"/>
      </w:pPr>
      <w:r>
        <w:rPr>
          <w:sz w:val="20"/>
        </w:rPr>
        <w:t xml:space="preserve">Порядок размещения нестационарных торговых объектов на территории муниципального образования "город Екатеринбург" регулируется Положением "Об условиях размещения нестационарных торговых объектов на территории муниципального образования "город Екатеринбург", утвержден решением Екатеринбургской городской Думы от 17.03.2020 N 7/32 (далее - Положение N 7/32).</w:t>
      </w:r>
    </w:p>
    <w:p>
      <w:pPr>
        <w:pStyle w:val="0"/>
        <w:spacing w:before="200" w:lineRule="auto"/>
        <w:ind w:firstLine="540"/>
        <w:jc w:val="both"/>
      </w:pPr>
      <w:r>
        <w:rPr>
          <w:sz w:val="20"/>
        </w:rPr>
        <w:t xml:space="preserve">Пункт 4 Положения N 7/32 закрепляет, что договор заключается на торгах, проводимых в форме аукциона, за исключением случаев заключения договора без проведения торгов, предусмотренных </w:t>
      </w:r>
      <w:r>
        <w:rPr>
          <w:sz w:val="20"/>
        </w:rPr>
        <w:t xml:space="preserve">главой 3</w:t>
      </w:r>
      <w:r>
        <w:rPr>
          <w:sz w:val="20"/>
        </w:rPr>
        <w:t xml:space="preserve"> Порядка размещения нестационарных торговых объектов на территории Свердловской области, утвержденного Постановлением Правительства Свердловской области от 14.03.2019 N 164-ПП.</w:t>
      </w:r>
    </w:p>
    <w:p>
      <w:pPr>
        <w:pStyle w:val="0"/>
        <w:spacing w:before="200" w:lineRule="auto"/>
        <w:ind w:firstLine="540"/>
        <w:jc w:val="both"/>
      </w:pPr>
      <w:r>
        <w:rPr>
          <w:sz w:val="20"/>
        </w:rPr>
        <w:t xml:space="preserve">Перечень случаев заключения договора на размещение нестационарного торгового объекта без проведения торгов является исчерпывающим и не предусматривает такое основание как уступка права, предоставленного ранее иному субъекту.</w:t>
      </w:r>
    </w:p>
    <w:p>
      <w:pPr>
        <w:pStyle w:val="0"/>
        <w:spacing w:before="200" w:lineRule="auto"/>
        <w:ind w:firstLine="540"/>
        <w:jc w:val="both"/>
      </w:pPr>
      <w:r>
        <w:rPr>
          <w:sz w:val="20"/>
        </w:rPr>
        <w:t xml:space="preserve">Прямой запрет на уступку прав третьим лицам по договору, предусматривающего размещение нестационарного торгового объекта, закреплен пунктом 4.1 Типового договора, предусматривающего размещение нестационарного торгового объекта, утвержденного </w:t>
      </w:r>
      <w:r>
        <w:rPr>
          <w:sz w:val="20"/>
        </w:rPr>
        <w:t xml:space="preserve">Постановлением</w:t>
      </w:r>
      <w:r>
        <w:rPr>
          <w:sz w:val="20"/>
        </w:rPr>
        <w:t xml:space="preserve"> Правительства Свердловской области от 14.03.2019 N 164-ПП.</w:t>
      </w:r>
    </w:p>
    <w:p>
      <w:pPr>
        <w:pStyle w:val="0"/>
        <w:spacing w:before="200" w:lineRule="auto"/>
        <w:ind w:firstLine="540"/>
        <w:jc w:val="both"/>
      </w:pPr>
      <w:r>
        <w:rPr>
          <w:sz w:val="20"/>
        </w:rPr>
        <w:t xml:space="preserve">Кроме того, пунктом 4.4.5. спорных договоров на правообладателя возложена обязанность не передавать свои права и обязанности по договорам третьим лицам, за исключением требования по денежному обязательству, не осуществлять перевод долга по обязательствам, возникшим из договоров.</w:t>
      </w:r>
    </w:p>
    <w:p>
      <w:pPr>
        <w:pStyle w:val="0"/>
        <w:spacing w:before="200" w:lineRule="auto"/>
        <w:ind w:firstLine="540"/>
        <w:jc w:val="both"/>
      </w:pPr>
      <w:r>
        <w:rPr>
          <w:sz w:val="20"/>
        </w:rPr>
        <w:t xml:space="preserve">Приведенные в апелляционной жалобе ссылки на сложившуюся иную судебную практику отклоняются, поскольку указанные заявителем судебные акты приняты в отношении иных фактических обстоятельств. В частности в </w:t>
      </w:r>
      <w:r>
        <w:rPr>
          <w:sz w:val="20"/>
        </w:rPr>
        <w:t xml:space="preserve">постановлении</w:t>
      </w:r>
      <w:r>
        <w:rPr>
          <w:sz w:val="20"/>
        </w:rPr>
        <w:t xml:space="preserve"> Арбитражного суда Уральского округа от 30.11.2023 по делу N А34-11555/2022, с абсолютно схожими, по мнению заявителя, обстоятельствами дела, в котором суд указал, что договорный запрет на уступку прав не соответствует гражданскому законодательству, умаляет права собственника и создает дискриминацию, в связи с чем признал состоявшимся переход прав и обязанностей по договору на размещение НТО на основании договора об уступке права требования (цессии), апелляционный суд обращает внимание на то, что уступка в деле N А34-11555/2022 состоялась между двумя предпринимателями.</w:t>
      </w:r>
    </w:p>
    <w:p>
      <w:pPr>
        <w:pStyle w:val="0"/>
        <w:spacing w:before="200" w:lineRule="auto"/>
        <w:ind w:firstLine="540"/>
        <w:jc w:val="both"/>
      </w:pPr>
      <w:r>
        <w:rPr>
          <w:sz w:val="20"/>
        </w:rPr>
        <w:t xml:space="preserve">Договоры, предусматривающие размещение нестационарного торгового объекта непосредственно с предпринимателем Гусейновым Т.М. не заключались.</w:t>
      </w:r>
    </w:p>
    <w:p>
      <w:pPr>
        <w:pStyle w:val="0"/>
        <w:spacing w:before="200" w:lineRule="auto"/>
        <w:ind w:firstLine="540"/>
        <w:jc w:val="both"/>
      </w:pPr>
      <w:r>
        <w:rPr>
          <w:sz w:val="20"/>
        </w:rPr>
        <w:t xml:space="preserve">Кроме того, как уже было указано выше, приказом от 18.07.2023 N 35/41/62 действие договоров на размещение НТО с Гусейновым Г.А. прекращены в связи с его смертью с 18.07.2023. Данный приказ не оспорен, недействительным не признан.</w:t>
      </w:r>
    </w:p>
    <w:p>
      <w:pPr>
        <w:pStyle w:val="0"/>
        <w:spacing w:before="200" w:lineRule="auto"/>
        <w:ind w:firstLine="540"/>
        <w:jc w:val="both"/>
      </w:pPr>
      <w:r>
        <w:rPr>
          <w:sz w:val="20"/>
        </w:rPr>
        <w:t xml:space="preserve">Вопросы выявления, выноса, демонтажа, хранения и возврата законным владельцам нестационарных торговых объектов, незаконно размещенных на территории муниципального образования "город Екатеринбург", регулируются </w:t>
      </w:r>
      <w:r>
        <w:rPr>
          <w:sz w:val="20"/>
        </w:rPr>
        <w:t xml:space="preserve">Положением</w:t>
      </w:r>
      <w:r>
        <w:rPr>
          <w:sz w:val="20"/>
        </w:rPr>
        <w:t xml:space="preserve"> о порядке выявления, выноса, демонтажа, хранения и возврата законным владельцам нестационарных торговых объектов, незаконно размещенных на территории муниципального образования "город Екатеринбург", утвержденным решением Екатеринбургской городской Думы от 20.09.2022 N 27/77 (далее - Положение N 27/77) и </w:t>
      </w:r>
      <w:r>
        <w:rPr>
          <w:sz w:val="20"/>
        </w:rPr>
        <w:t xml:space="preserve">Порядком</w:t>
      </w:r>
      <w:r>
        <w:rPr>
          <w:sz w:val="20"/>
        </w:rPr>
        <w:t xml:space="preserve"> организации мероприятий по выявлению, выносу, демонтажу, хранению и возврату законным владельцам нестационарных торговых объектов, незаконно размещенных на территории муниципального образования "город Екатеринбург", утвержденным Постановлением Администрации города Екатеринбурга от 05.12.2022 N 3757 (далее - Порядок N 3757).</w:t>
      </w:r>
    </w:p>
    <w:p>
      <w:pPr>
        <w:pStyle w:val="0"/>
        <w:spacing w:before="200" w:lineRule="auto"/>
        <w:ind w:firstLine="540"/>
        <w:jc w:val="both"/>
      </w:pPr>
      <w:r>
        <w:rPr>
          <w:sz w:val="20"/>
        </w:rPr>
        <w:t xml:space="preserve">Исходя из пункта 2 Положения N 27/77 незаконно размещенные нестационарные торговые объекты - нестационарные торговые объекты, в том числе оказывающие населению услуги общественного питания и бытового обслуживания, в отношении которых не заключен договор, предусматривающий их размещение, в порядке, предусмотренном Положением N 7/32.</w:t>
      </w:r>
    </w:p>
    <w:p>
      <w:pPr>
        <w:pStyle w:val="0"/>
        <w:spacing w:before="200" w:lineRule="auto"/>
        <w:ind w:firstLine="540"/>
        <w:jc w:val="both"/>
      </w:pPr>
      <w:r>
        <w:rPr>
          <w:sz w:val="20"/>
        </w:rPr>
        <w:t xml:space="preserve">Согласно пункту 7 Положения N 27/77 в рамках мероприятий по выявлению незаконно размещенного нестационарного торгового объекта специалист уполномоченного органа:</w:t>
      </w:r>
    </w:p>
    <w:p>
      <w:pPr>
        <w:pStyle w:val="0"/>
        <w:spacing w:before="200" w:lineRule="auto"/>
        <w:ind w:firstLine="540"/>
        <w:jc w:val="both"/>
      </w:pPr>
      <w:r>
        <w:rPr>
          <w:sz w:val="20"/>
        </w:rPr>
        <w:t xml:space="preserve">1) проверяет наличие действующего договора, предусматривающего размещение нестационарного торгового объекта;</w:t>
      </w:r>
    </w:p>
    <w:p>
      <w:pPr>
        <w:pStyle w:val="0"/>
        <w:spacing w:before="200" w:lineRule="auto"/>
        <w:ind w:firstLine="540"/>
        <w:jc w:val="both"/>
      </w:pPr>
      <w:r>
        <w:rPr>
          <w:sz w:val="20"/>
        </w:rPr>
        <w:t xml:space="preserve">2) при отсутствии действующего договора, предусматривающего размещение нестационарного торгового объекта, осуществляет выезд на место размещения нестационарного торгового объекта, где осуществляет осмотр нестационарного торгового объекта, и в порядке, предусмотренном правовым актом Администрации города Екатеринбурга, определяет кадастровый номер земельного участка, на котором расположен нестационарный торговый объект, и форму собственности на такой земельный участок;</w:t>
      </w:r>
    </w:p>
    <w:p>
      <w:pPr>
        <w:pStyle w:val="0"/>
        <w:spacing w:before="200" w:lineRule="auto"/>
        <w:ind w:firstLine="540"/>
        <w:jc w:val="both"/>
      </w:pPr>
      <w:r>
        <w:rPr>
          <w:sz w:val="20"/>
        </w:rPr>
        <w:t xml:space="preserve">3) составляет акт о выявлении незаконно размещенного нестационарного торгового объекта (далее - акт о выявлении) в двух экземплярах, в случае если нестационарный торговый объект расположен на земельном участке, находящемся в муниципальной собственности или право государственной собственности на который не разграничено, при отсутствии действующего договора, предусматривающего размещение нестационарного торгового объекта;</w:t>
      </w:r>
    </w:p>
    <w:p>
      <w:pPr>
        <w:pStyle w:val="0"/>
        <w:spacing w:before="200" w:lineRule="auto"/>
        <w:ind w:firstLine="540"/>
        <w:jc w:val="both"/>
      </w:pPr>
      <w:r>
        <w:rPr>
          <w:sz w:val="20"/>
        </w:rPr>
        <w:t xml:space="preserve">4) размещает на поверхности незаконно размещенного нестационарного торгового объекта один экземпляр акта о выявлении;</w:t>
      </w:r>
    </w:p>
    <w:p>
      <w:pPr>
        <w:pStyle w:val="0"/>
        <w:spacing w:before="200" w:lineRule="auto"/>
        <w:ind w:firstLine="540"/>
        <w:jc w:val="both"/>
      </w:pPr>
      <w:r>
        <w:rPr>
          <w:sz w:val="20"/>
        </w:rPr>
        <w:t xml:space="preserve">5) производит фотосъемку незаконно размещенного нестационарного торгового объекта таким образом, чтобы в кадре был отчетливо виден данный нестационарный торговый объект, а также размещенный на его поверхности акт о выявлении и прочитывалась дата его размещения.</w:t>
      </w:r>
    </w:p>
    <w:p>
      <w:pPr>
        <w:pStyle w:val="0"/>
        <w:spacing w:before="200" w:lineRule="auto"/>
        <w:ind w:firstLine="540"/>
        <w:jc w:val="both"/>
      </w:pPr>
      <w:r>
        <w:rPr>
          <w:sz w:val="20"/>
        </w:rPr>
        <w:t xml:space="preserve">Специалист уполномоченного органа направляет акт о выявлении, фотографии незаконно размещенного нестационарного торгового объекта, иную имеющуюся информацию в комиссию по вопросам выноса (демонтажа) незаконно размещенных нестационарных торговых объектов, созданную при уполномоченном органе (далее - комиссия), в срок не позднее одного рабочего дня со дня его составления (</w:t>
      </w:r>
      <w:r>
        <w:rPr>
          <w:sz w:val="20"/>
        </w:rPr>
        <w:t xml:space="preserve">пункт 11</w:t>
      </w:r>
      <w:r>
        <w:rPr>
          <w:sz w:val="20"/>
        </w:rPr>
        <w:t xml:space="preserve"> Положения N 27/77).</w:t>
      </w:r>
    </w:p>
    <w:p>
      <w:pPr>
        <w:pStyle w:val="0"/>
        <w:spacing w:before="200" w:lineRule="auto"/>
        <w:ind w:firstLine="540"/>
        <w:jc w:val="both"/>
      </w:pPr>
      <w:r>
        <w:rPr>
          <w:sz w:val="20"/>
        </w:rPr>
        <w:t xml:space="preserve">Комиссия рассматривает поступившие документы в течение трех рабочих дней со дня их получения и принимает решение о способе перемещения незаконно размещенного нестационарного торгового объекта (вынос или демонтаж) (</w:t>
      </w:r>
      <w:r>
        <w:rPr>
          <w:sz w:val="20"/>
        </w:rPr>
        <w:t xml:space="preserve">пункт 12</w:t>
      </w:r>
      <w:r>
        <w:rPr>
          <w:sz w:val="20"/>
        </w:rPr>
        <w:t xml:space="preserve"> Положения N 27/77).</w:t>
      </w:r>
    </w:p>
    <w:p>
      <w:pPr>
        <w:pStyle w:val="0"/>
        <w:spacing w:before="200" w:lineRule="auto"/>
        <w:ind w:firstLine="540"/>
        <w:jc w:val="both"/>
      </w:pPr>
      <w:r>
        <w:rPr>
          <w:sz w:val="20"/>
        </w:rPr>
        <w:t xml:space="preserve">В соответствии с </w:t>
      </w:r>
      <w:r>
        <w:rPr>
          <w:sz w:val="20"/>
        </w:rPr>
        <w:t xml:space="preserve">пунктом 13</w:t>
      </w:r>
      <w:r>
        <w:rPr>
          <w:sz w:val="20"/>
        </w:rPr>
        <w:t xml:space="preserve"> Положения N 27/77 специалист уполномоченного органа на основании решения, принятого комиссией, осуществляет подготовку уведомления о выносе (демонтаже) незаконно размещенного нестационарного торгового объекта (далее - уведомление о выносе (демонтаже)) в двух экземплярах. Уведомление о выносе (демонтаже) подписывается руководителем уполномоченного органа либо иным уполномоченным лицом в срок не позднее двух рабочих дней со дня поступления решения комиссии и размещается на официальном сайте Администрации города Екатеринбурга в информационно-телекоммуникационной сети "Интернет" в срок не позднее одного рабочего дня со дня его подписания.</w:t>
      </w:r>
    </w:p>
    <w:p>
      <w:pPr>
        <w:pStyle w:val="0"/>
        <w:spacing w:before="200" w:lineRule="auto"/>
        <w:ind w:firstLine="540"/>
        <w:jc w:val="both"/>
      </w:pPr>
      <w:r>
        <w:rPr>
          <w:sz w:val="20"/>
        </w:rPr>
        <w:t xml:space="preserve">При этом согласно </w:t>
      </w:r>
      <w:r>
        <w:rPr>
          <w:sz w:val="20"/>
        </w:rPr>
        <w:t xml:space="preserve">пункту 14</w:t>
      </w:r>
      <w:r>
        <w:rPr>
          <w:sz w:val="20"/>
        </w:rPr>
        <w:t xml:space="preserve"> Положения N 27/77 копия уведомления о выносе (демонтаже) размещается на поверхности незаконно размещенного нестационарного торгового объекта в срок не позднее одного рабочего дня со дня его подписания. Если при этом присутствует законный владелец незаконно размещенного нестационарного торгового объекта, уведомление о выносе (демонтаже) вручается указанному лицу с отметкой о вручении. Отметка о вручении проставляется на экземпляре уведомления о выносе (демонтаже), который хранится в уполномоченном органе. В случае отсутствия законного владельца в месте выявления незаконно размещенного нестационарного торгового объекта уведомление о выносе (демонтаже) направляется такому лицу заказным почтовым отправлением в день размещения уведомления о выносе (демонтаже) (при наличии информации о законном владельце).</w:t>
      </w:r>
    </w:p>
    <w:p>
      <w:pPr>
        <w:pStyle w:val="0"/>
        <w:spacing w:before="200" w:lineRule="auto"/>
        <w:ind w:firstLine="540"/>
        <w:jc w:val="both"/>
      </w:pPr>
      <w:r>
        <w:rPr>
          <w:sz w:val="20"/>
        </w:rPr>
        <w:t xml:space="preserve">Принимая во внимание недоказанность факта законности размещения предпринимателем Гусейновым Т.М. нестационарных торговых объектов, суд первой инстанции обоснованно отказал в удовлетворении требований о признании уведомлений N 5-У-ВИ, N 6-У-ВИ, N 7-У-ВИ о выносе (демонтаже) незаконно размещенных нестационарных торговых объектов.</w:t>
      </w:r>
    </w:p>
    <w:p>
      <w:pPr>
        <w:pStyle w:val="0"/>
        <w:spacing w:before="200" w:lineRule="auto"/>
        <w:ind w:firstLine="540"/>
        <w:jc w:val="both"/>
      </w:pPr>
      <w:r>
        <w:rPr>
          <w:sz w:val="20"/>
        </w:rPr>
        <w:t xml:space="preserve">Совокупность обстоятельств, являющихся основанием для признания незаконными решений Администрация, отсутствует.</w:t>
      </w:r>
    </w:p>
    <w:p>
      <w:pPr>
        <w:pStyle w:val="0"/>
        <w:spacing w:before="200" w:lineRule="auto"/>
        <w:ind w:firstLine="540"/>
        <w:jc w:val="both"/>
      </w:pPr>
      <w:r>
        <w:rPr>
          <w:sz w:val="20"/>
        </w:rPr>
        <w:t xml:space="preserve">Доводы апелляционной жалобы судом апелляционной инстанции исследованы и отклонены, как не свидетельствующие о незаконности и необоснованности обжалуемого судебного акта и не влекущие его отмены.</w:t>
      </w:r>
    </w:p>
    <w:p>
      <w:pPr>
        <w:pStyle w:val="0"/>
        <w:spacing w:before="200" w:lineRule="auto"/>
        <w:ind w:firstLine="540"/>
        <w:jc w:val="both"/>
      </w:pPr>
      <w:r>
        <w:rPr>
          <w:sz w:val="20"/>
        </w:rPr>
        <w:t xml:space="preserve">Суд апелляционной инстанции считает, что все имеющие существенное значение для рассматриваемого дела обстоятельства судом установлены правильно, представленные доказательства полно и всесторонне исследованы и им дана надлежащая оценка.</w:t>
      </w:r>
    </w:p>
    <w:p>
      <w:pPr>
        <w:pStyle w:val="0"/>
        <w:spacing w:before="200" w:lineRule="auto"/>
        <w:ind w:firstLine="540"/>
        <w:jc w:val="both"/>
      </w:pPr>
      <w:r>
        <w:rPr>
          <w:sz w:val="20"/>
        </w:rPr>
        <w:t xml:space="preserve">Нарушений при рассмотрении дела судом первой инстанции норм материального и процессуального права, которые в соответствии со </w:t>
      </w:r>
      <w:r>
        <w:rPr>
          <w:sz w:val="20"/>
        </w:rPr>
        <w:t xml:space="preserve">статьей 270</w:t>
      </w:r>
      <w:r>
        <w:rPr>
          <w:sz w:val="20"/>
        </w:rPr>
        <w:t xml:space="preserve"> АПК РФ являются основанием к отмене или изменению судебного акта, судом апелляционной инстанции не установлено. Решение суда является законным и обоснованным.</w:t>
      </w:r>
    </w:p>
    <w:p>
      <w:pPr>
        <w:pStyle w:val="0"/>
        <w:spacing w:before="200" w:lineRule="auto"/>
        <w:ind w:firstLine="540"/>
        <w:jc w:val="both"/>
      </w:pPr>
      <w:r>
        <w:rPr>
          <w:sz w:val="20"/>
        </w:rPr>
        <w:t xml:space="preserve">В соответствии со </w:t>
      </w:r>
      <w:r>
        <w:rPr>
          <w:sz w:val="20"/>
        </w:rPr>
        <w:t xml:space="preserve">статьей 110</w:t>
      </w:r>
      <w:r>
        <w:rPr>
          <w:sz w:val="20"/>
        </w:rPr>
        <w:t xml:space="preserve"> АПК РФ расходы по уплате государственной пошлины по апелляционной жалобе относятся на заявителя.</w:t>
      </w:r>
    </w:p>
    <w:p>
      <w:pPr>
        <w:pStyle w:val="0"/>
        <w:spacing w:before="200" w:lineRule="auto"/>
        <w:ind w:firstLine="540"/>
        <w:jc w:val="both"/>
      </w:pPr>
      <w:r>
        <w:rPr>
          <w:sz w:val="20"/>
        </w:rPr>
        <w:t xml:space="preserve">На основании изложенного и руководствуясь </w:t>
      </w:r>
      <w:r>
        <w:rPr>
          <w:sz w:val="20"/>
        </w:rPr>
        <w:t xml:space="preserve">статьями 176</w:t>
      </w:r>
      <w:r>
        <w:rPr>
          <w:sz w:val="20"/>
        </w:rPr>
        <w:t xml:space="preserve">, </w:t>
      </w:r>
      <w:r>
        <w:rPr>
          <w:sz w:val="20"/>
        </w:rPr>
        <w:t xml:space="preserve">258</w:t>
      </w:r>
      <w:r>
        <w:rPr>
          <w:sz w:val="20"/>
        </w:rPr>
        <w:t xml:space="preserve">, </w:t>
      </w:r>
      <w:r>
        <w:rPr>
          <w:sz w:val="20"/>
        </w:rPr>
        <w:t xml:space="preserve">268</w:t>
      </w:r>
      <w:r>
        <w:rPr>
          <w:sz w:val="20"/>
        </w:rPr>
        <w:t xml:space="preserve">, </w:t>
      </w:r>
      <w:r>
        <w:rPr>
          <w:sz w:val="20"/>
        </w:rPr>
        <w:t xml:space="preserve">269</w:t>
      </w:r>
      <w:r>
        <w:rPr>
          <w:sz w:val="20"/>
        </w:rPr>
        <w:t xml:space="preserve">, </w:t>
      </w:r>
      <w:r>
        <w:rPr>
          <w:sz w:val="20"/>
        </w:rPr>
        <w:t xml:space="preserve">271</w:t>
      </w:r>
      <w:r>
        <w:rPr>
          <w:sz w:val="20"/>
        </w:rPr>
        <w:t xml:space="preserve"> АПК РФ, Семнадцатый арбитражный апелляционный суд</w:t>
      </w:r>
    </w:p>
    <w:p>
      <w:pPr>
        <w:pStyle w:val="0"/>
        <w:jc w:val="both"/>
      </w:pPr>
      <w:r>
        <w:rPr>
          <w:sz w:val="20"/>
        </w:rPr>
      </w:r>
    </w:p>
    <w:p>
      <w:pPr>
        <w:pStyle w:val="0"/>
        <w:jc w:val="center"/>
      </w:pPr>
      <w:r>
        <w:rPr>
          <w:sz w:val="20"/>
        </w:rPr>
        <w:t xml:space="preserve">постановил:</w:t>
      </w:r>
    </w:p>
    <w:p>
      <w:pPr>
        <w:pStyle w:val="0"/>
        <w:jc w:val="both"/>
      </w:pPr>
      <w:r>
        <w:rPr>
          <w:sz w:val="20"/>
        </w:rPr>
      </w:r>
    </w:p>
    <w:p>
      <w:pPr>
        <w:pStyle w:val="0"/>
        <w:ind w:firstLine="540"/>
        <w:jc w:val="both"/>
      </w:pPr>
      <w:r>
        <w:rPr>
          <w:sz w:val="20"/>
        </w:rPr>
        <w:t xml:space="preserve">Решение</w:t>
      </w:r>
      <w:r>
        <w:rPr>
          <w:sz w:val="20"/>
        </w:rPr>
        <w:t xml:space="preserve"> Арбитражного суда Свердловской области от 06 августа 2024 года по делу N А60-23830/2024 оставить без изменения, апелляционную жалобу - без удовлетворения.</w:t>
      </w:r>
    </w:p>
    <w:p>
      <w:pPr>
        <w:pStyle w:val="0"/>
        <w:spacing w:before="200" w:lineRule="auto"/>
        <w:ind w:firstLine="540"/>
        <w:jc w:val="both"/>
      </w:pPr>
      <w:r>
        <w:rPr>
          <w:sz w:val="20"/>
        </w:rPr>
        <w:t xml:space="preserve">Постановление может быть обжаловано в порядке кассационного производства в Арбитражный суд Уральского округа в срок, не превышающий двух месяцев со дня его принятия, через Арбитражный суд Свердловской области.</w:t>
      </w:r>
    </w:p>
    <w:p>
      <w:pPr>
        <w:pStyle w:val="0"/>
        <w:jc w:val="both"/>
      </w:pPr>
      <w:r>
        <w:rPr>
          <w:sz w:val="20"/>
        </w:rPr>
      </w:r>
    </w:p>
    <w:p>
      <w:pPr>
        <w:pStyle w:val="0"/>
        <w:jc w:val="right"/>
      </w:pPr>
      <w:r>
        <w:rPr>
          <w:sz w:val="20"/>
        </w:rPr>
        <w:t xml:space="preserve">Председательствующий</w:t>
      </w:r>
    </w:p>
    <w:p>
      <w:pPr>
        <w:pStyle w:val="0"/>
        <w:jc w:val="right"/>
      </w:pPr>
      <w:r>
        <w:rPr>
          <w:sz w:val="20"/>
        </w:rPr>
        <w:t xml:space="preserve">О.Г.ДРУЖИНИНА</w:t>
      </w:r>
    </w:p>
    <w:p>
      <w:pPr>
        <w:pStyle w:val="0"/>
        <w:jc w:val="both"/>
      </w:pPr>
      <w:r>
        <w:rPr>
          <w:sz w:val="20"/>
        </w:rPr>
      </w:r>
    </w:p>
    <w:p>
      <w:pPr>
        <w:pStyle w:val="0"/>
        <w:jc w:val="right"/>
      </w:pPr>
      <w:r>
        <w:rPr>
          <w:sz w:val="20"/>
        </w:rPr>
        <w:t xml:space="preserve">Судьи</w:t>
      </w:r>
    </w:p>
    <w:p>
      <w:pPr>
        <w:pStyle w:val="0"/>
        <w:jc w:val="right"/>
      </w:pPr>
      <w:r>
        <w:rPr>
          <w:sz w:val="20"/>
        </w:rPr>
        <w:t xml:space="preserve">М.А.ПОЛЯКОВА</w:t>
      </w:r>
    </w:p>
    <w:p>
      <w:pPr>
        <w:pStyle w:val="0"/>
        <w:jc w:val="right"/>
      </w:pPr>
      <w:r>
        <w:rPr>
          <w:sz w:val="20"/>
        </w:rPr>
        <w:t xml:space="preserve">В.В.СЕМЕНОВ</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p>
      <w:pPr>
        <w:pStyle w:val="0"/>
      </w:pPr>
      <w:r>
        <w:rPr>
          <w:sz w:val="16"/>
        </w:rPr>
      </w:r>
    </w:p>
    <w:sectPr>
      <w:headerReference w:type="default" r:id="rId3"/>
      <w:headerReference w:type="first" r:id="rId3"/>
      <w:footerReference w:type="default" r:id="rId4"/>
      <w:footerReference w:type="first" r:id="rId4"/>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Семнадцатого арбитражного апелляционного суда от 05.12.2024 N 17АП-10170/2024-ГК по делу N А60-23830/2024</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29.07.2025</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Arial" w:hAnsi="Arial" w:cs="Arial"/>
      <w:sz w:val="20"/>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0"/>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Courier New" w:hAnsi="Courier New" w:cs="Courier New"/>
      <w:sz w:val="20"/>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Arial" w:hAnsi="Arial" w:cs="Arial"/>
      <w:sz w:val="20"/>
      <w:lang w:val="ru-RU" w:eastAsia="ru-RU" w:bidi="ar-SA"/>
    </w:rPr>
  </w:style>
  <w:style w:type="paragraph" w:customStyle="1" w:styleId="8">
    <w:name w:val="ConsPlusTextList"/>
    <w:pPr>
      <w:widowControl w:val="0"/>
      <w:autoSpaceDE w:val="0"/>
      <w:autoSpaceDN w:val="0"/>
    </w:pPr>
    <w:rPr>
      <w:rFonts w:ascii="Arial" w:hAnsi="Arial" w:cs="Arial"/>
      <w:sz w:val="20"/>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word/settings.xml"/><Relationship Id="rId2" Type="http://schemas.openxmlformats.org/officeDocument/2006/relationships/styles" Target="styles.xml"/><Relationship Id="rId3" Type="http://schemas.openxmlformats.org/officeDocument/2006/relationships/header" Target="header1.xml"/><Relationship Id="rId4" Type="http://schemas.openxmlformats.org/officeDocument/2006/relationships/footer" Target="footer1.xm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4025.00.30</Application>
  <Company>КонсультантПлюс Версия 4025.00.30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Семнадцатого арбитражного апелляционного суда от 05.12.2024 N 17АП-10170/2024-ГК по делу N А60-23830/2024
Требование: О признании незаконными требований о демонтаже незаконно размещенных нестационарных объектов.
Решение: В удовлетворении требования отказано.</dc:title>
  <dcterms:created xsi:type="dcterms:W3CDTF">2025-07-29T05:28:55Z</dcterms:created>
</cp:coreProperties>
</file>